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华文中宋" w:hAnsi="华文中宋" w:eastAsia="华文中宋" w:cs="Times New Roman"/>
          <w:sz w:val="32"/>
          <w:szCs w:val="32"/>
          <w:lang w:eastAsia="zh-CN"/>
        </w:rPr>
        <w:t>中国新闻奖报纸、通讯社新闻</w:t>
      </w:r>
      <w:r>
        <w:rPr>
          <w:rFonts w:hint="eastAsia" w:ascii="华文中宋" w:hAnsi="华文中宋" w:eastAsia="华文中宋" w:cs="Times New Roman"/>
          <w:sz w:val="32"/>
          <w:szCs w:val="32"/>
        </w:rPr>
        <w:t>专栏代表作基本情况</w:t>
      </w:r>
    </w:p>
    <w:p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仿宋_GB2312" w:hAnsi="仿宋" w:eastAsia="仿宋_GB2312" w:cs="华文中宋"/>
          <w:sz w:val="24"/>
          <w:szCs w:val="24"/>
        </w:rPr>
      </w:pPr>
    </w:p>
    <w:tbl>
      <w:tblPr>
        <w:tblStyle w:val="2"/>
        <w:tblW w:w="933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8"/>
        <w:gridCol w:w="77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top"/>
          </w:tcPr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作品标题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jc w:val="center"/>
              <w:rPr>
                <w:rFonts w:ascii="Times New Roman"/>
                <w:sz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泉眼复流见证太原生态蝶变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588" w:type="dxa"/>
            <w:noWrap w:val="0"/>
            <w:vAlign w:val="top"/>
          </w:tcPr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发表日期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tabs>
                <w:tab w:val="left" w:pos="1410"/>
                <w:tab w:val="left" w:pos="2250"/>
              </w:tabs>
              <w:spacing w:before="2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>
              <w:rPr>
                <w:rFonts w:hint="eastAsia"/>
                <w:sz w:val="28"/>
                <w:lang w:val="en-US" w:eastAsia="zh-CN"/>
              </w:rPr>
              <w:t xml:space="preserve">3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 w:eastAsia="zh-CN"/>
              </w:rPr>
              <w:t xml:space="preserve"> 5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 w:eastAsia="zh-CN"/>
              </w:rPr>
              <w:t xml:space="preserve"> 28 </w:t>
            </w:r>
            <w:r>
              <w:rPr>
                <w:sz w:val="28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1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作品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评介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pStyle w:val="4"/>
              <w:ind w:firstLine="480" w:firstLineChars="200"/>
              <w:jc w:val="left"/>
              <w:rPr>
                <w:rFonts w:hint="eastAsia" w:ascii="Times New Roman" w:eastAsia="楷体_GB2312"/>
                <w:sz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文没有空洞的说教，而是紧紧抓住“泉眼复流”背后的原因和理念谋篇布局，既能够让读者了解生态蝶变的来龙去脉，同时也提供了有价值的观点供思考。时间线和层次感十分清晰，逻辑严谨，论点和论据紧密结合，论证层层递进，具有较强的说服力与可读性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2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采编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过程</w:t>
            </w:r>
          </w:p>
        </w:tc>
        <w:tc>
          <w:tcPr>
            <w:tcW w:w="7742" w:type="dxa"/>
            <w:noWrap w:val="0"/>
            <w:vAlign w:val="center"/>
          </w:tcPr>
          <w:p>
            <w:pPr>
              <w:spacing w:line="0" w:lineRule="atLeast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近年来，太原市治山、治水、治气、治城一体推进，为再现锦绣太原城盛景做出了有目共睹的成绩。当晋源区泉眼复流的消息传来后，笔者敏锐地意识到这条新闻的价值——太原生态蝶变的见证。从“千泉之省”到一度断流，再到今天的接连复流，其背后展现出怎样的发展理念和治理路径？其与中国式现代化内涵的逻辑关系是怎样的？有哪些重大意义？以上思考，正是本篇评论的出发点和落脚点。</w:t>
            </w:r>
          </w:p>
          <w:p>
            <w:pPr>
              <w:pStyle w:val="4"/>
              <w:ind w:firstLine="480" w:firstLineChars="200"/>
              <w:jc w:val="left"/>
              <w:rPr>
                <w:rFonts w:ascii="Times New Roman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文章甫一开始，从地下水生态的历史流变引入中国式现代化的内涵——人与自然和谐共生，梳理和分析了地下水超采到精准修复生态的过程，论证了发展与保护的关系。在此基础上，联系汾河太原段水质提升和空气质量持续改善，揭示整个生态好转的现实，最后点出了持续推进生态文明建设的现实价值和历史意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6" w:hRule="atLeast"/>
          <w:jc w:val="center"/>
        </w:trPr>
        <w:tc>
          <w:tcPr>
            <w:tcW w:w="1588" w:type="dxa"/>
            <w:noWrap w:val="0"/>
            <w:vAlign w:val="center"/>
          </w:tcPr>
          <w:p>
            <w:pPr>
              <w:pStyle w:val="4"/>
              <w:spacing w:before="132"/>
              <w:ind w:left="261"/>
              <w:rPr>
                <w:rFonts w:hint="eastAsia"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社会</w:t>
            </w:r>
          </w:p>
          <w:p>
            <w:pPr>
              <w:pStyle w:val="4"/>
              <w:spacing w:before="132"/>
              <w:ind w:left="2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华文中宋" w:eastAsia="华文中宋"/>
                <w:sz w:val="28"/>
              </w:rPr>
              <w:t>效果</w:t>
            </w:r>
          </w:p>
        </w:tc>
        <w:tc>
          <w:tcPr>
            <w:tcW w:w="7742" w:type="dxa"/>
            <w:noWrap w:val="0"/>
            <w:vAlign w:val="top"/>
          </w:tcPr>
          <w:p>
            <w:pPr>
              <w:pStyle w:val="4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pStyle w:val="4"/>
              <w:ind w:firstLine="480" w:firstLineChars="200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pStyle w:val="4"/>
              <w:ind w:firstLine="480" w:firstLineChars="200"/>
              <w:rPr>
                <w:rFonts w:ascii="Times New Roman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新闻人是时代的瞭望者，评论选材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尤其应该</w:t>
            </w:r>
            <w:r>
              <w:rPr>
                <w:rFonts w:hint="eastAsia" w:ascii="宋体" w:hAnsi="宋体" w:eastAsia="宋体" w:cs="宋体"/>
                <w:sz w:val="24"/>
              </w:rPr>
              <w:t>抓住那些具有突破性和符号性的题材，通过深入剖析展示其价值。泉眼纷纷复流就是这样的题材，不仅是生态变好可见的拐点，更凸显出“四位一体”治理所取得的重大效果。刊发后受到读者好评，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引起社会共鸣，</w:t>
            </w:r>
            <w:r>
              <w:rPr>
                <w:rFonts w:hint="eastAsia" w:ascii="宋体" w:hAnsi="宋体" w:eastAsia="宋体" w:cs="宋体"/>
                <w:sz w:val="24"/>
              </w:rPr>
              <w:t>并被广泛转载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。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hint="eastAsia" w:ascii="楷体" w:hAnsi="楷体" w:eastAsia="楷体" w:cs="Times New Roman"/>
          <w:b w:val="0"/>
          <w:bCs w:val="0"/>
          <w:sz w:val="32"/>
          <w:szCs w:val="32"/>
          <w:lang w:val="zh-CN"/>
        </w:rPr>
      </w:pPr>
    </w:p>
    <w:p>
      <w:pPr>
        <w:widowControl w:val="0"/>
        <w:jc w:val="center"/>
      </w:pPr>
      <w:r>
        <w:rPr>
          <w:rFonts w:hint="eastAsia" w:ascii="楷体" w:hAnsi="楷体" w:eastAsia="楷体" w:cs="Times New Roman"/>
          <w:b w:val="0"/>
          <w:bCs w:val="0"/>
          <w:sz w:val="32"/>
          <w:szCs w:val="32"/>
          <w:lang w:val="zh-CN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E097C"/>
    <w:rsid w:val="122234B1"/>
    <w:rsid w:val="32A561B2"/>
    <w:rsid w:val="38F009F0"/>
    <w:rsid w:val="52FE097C"/>
    <w:rsid w:val="556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2024-03-28T08:14:00Z</dcterms:created>
  <dc:creator>娟儿</dc:creator>
  <cp:lastModifiedBy>古道西风</cp:lastModifiedBy>
  <cp:lastPrinted>2024-03-28T09:55:00Z</cp:lastPrinted>
  <dcterms:modified xsi:type="dcterms:W3CDTF">2024-03-29T02:15:16Z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