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center"/>
        <w:rPr>
          <w:rFonts w:hint="eastAsia" w:ascii="楷体" w:hAnsi="楷体" w:eastAsia="楷体" w:cs="Times New Roman"/>
          <w:b w:val="0"/>
          <w:bCs w:val="0"/>
          <w:sz w:val="32"/>
          <w:szCs w:val="32"/>
          <w:lang w:val="zh-CN"/>
        </w:rPr>
      </w:pPr>
      <w:r>
        <w:rPr>
          <w:rFonts w:hint="eastAsia" w:ascii="楷体" w:hAnsi="楷体" w:eastAsia="楷体" w:cs="Times New Roman"/>
          <w:b w:val="0"/>
          <w:bCs w:val="0"/>
          <w:sz w:val="32"/>
          <w:szCs w:val="32"/>
          <w:lang w:val="zh-CN"/>
        </w:rPr>
        <w:t xml:space="preserve">  </w:t>
      </w:r>
    </w:p>
    <w:p>
      <w:pPr>
        <w:widowControl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华文中宋" w:hAnsi="华文中宋" w:eastAsia="华文中宋" w:cs="Times New Roman"/>
          <w:sz w:val="32"/>
          <w:szCs w:val="32"/>
          <w:lang w:eastAsia="zh-CN"/>
        </w:rPr>
        <w:t>中国新闻奖报纸、通讯社新闻</w:t>
      </w:r>
      <w:r>
        <w:rPr>
          <w:rFonts w:hint="eastAsia" w:ascii="华文中宋" w:hAnsi="华文中宋" w:eastAsia="华文中宋" w:cs="Times New Roman"/>
          <w:sz w:val="32"/>
          <w:szCs w:val="32"/>
        </w:rPr>
        <w:t>专栏代表作基本情况</w:t>
      </w:r>
    </w:p>
    <w:p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仿宋_GB2312" w:hAnsi="仿宋" w:eastAsia="仿宋_GB2312" w:cs="华文中宋"/>
          <w:sz w:val="24"/>
          <w:szCs w:val="24"/>
        </w:rPr>
      </w:pPr>
    </w:p>
    <w:tbl>
      <w:tblPr>
        <w:tblStyle w:val="2"/>
        <w:tblW w:w="933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77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top"/>
          </w:tcPr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作品标题</w:t>
            </w:r>
          </w:p>
        </w:tc>
        <w:tc>
          <w:tcPr>
            <w:tcW w:w="7742" w:type="dxa"/>
            <w:noWrap w:val="0"/>
            <w:vAlign w:val="top"/>
          </w:tcPr>
          <w:p>
            <w:pPr>
              <w:pStyle w:val="4"/>
              <w:jc w:val="center"/>
              <w:rPr>
                <w:rFonts w:ascii="Times New Roman"/>
                <w:sz w:val="30"/>
              </w:rPr>
            </w:pPr>
            <w:r>
              <w:rPr>
                <w:rFonts w:ascii="宋体" w:hAnsi="宋体" w:eastAsia="宋体" w:cs="宋体"/>
                <w:b w:val="0"/>
                <w:bCs w:val="0"/>
                <w:color w:val="000000"/>
                <w:sz w:val="31"/>
                <w:szCs w:val="31"/>
              </w:rPr>
              <w:t>以实干实绩推动城市火出圈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top"/>
          </w:tcPr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发表日期</w:t>
            </w:r>
          </w:p>
        </w:tc>
        <w:tc>
          <w:tcPr>
            <w:tcW w:w="7742" w:type="dxa"/>
            <w:noWrap w:val="0"/>
            <w:vAlign w:val="top"/>
          </w:tcPr>
          <w:p>
            <w:pPr>
              <w:pStyle w:val="4"/>
              <w:tabs>
                <w:tab w:val="left" w:pos="1410"/>
                <w:tab w:val="left" w:pos="2250"/>
              </w:tabs>
              <w:spacing w:before="2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 xml:space="preserve">3 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 w:eastAsia="zh-CN"/>
              </w:rPr>
              <w:t xml:space="preserve"> 10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 xml:space="preserve"> 21 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pStyle w:val="4"/>
              <w:spacing w:before="132"/>
              <w:ind w:left="261"/>
              <w:rPr>
                <w:rFonts w:hint="eastAsia"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作品</w:t>
            </w:r>
          </w:p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评介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pStyle w:val="4"/>
              <w:ind w:firstLine="480" w:firstLineChars="200"/>
              <w:jc w:val="left"/>
              <w:rPr>
                <w:rFonts w:hint="eastAsia" w:ascii="Times New Roman" w:eastAsia="楷体_GB2312"/>
                <w:sz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实践与理论的总结，势必推动太原破圈突围。评论在点评太原火 出圈的同时，更给人以力量，期待太原向新而行，以实干实绩书写城市高质量发展的精彩答卷。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2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pStyle w:val="4"/>
              <w:spacing w:before="132"/>
              <w:ind w:left="261"/>
              <w:rPr>
                <w:rFonts w:hint="eastAsia"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采编</w:t>
            </w:r>
          </w:p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过程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pStyle w:val="4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在互联网传播的加持下，借助举办明星演唱会、体育赛事、文化 论坛等契机，今年以来，太原的城市热度飙升。 </w:t>
            </w:r>
          </w:p>
          <w:p>
            <w:pPr>
              <w:pStyle w:val="4"/>
              <w:ind w:firstLine="480" w:firstLineChars="200"/>
              <w:jc w:val="left"/>
              <w:rPr>
                <w:rFonts w:ascii="Times New Roman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太原为何火出圈？评论理性看待一个个“火出圈”的事件，认真 分析成绩背后的原因，清醒地认识到，太原牢记习近平总书记的殷殷 嘱托，治山、治水、治气、治城一体推进，持续用力，如今的太原愈加宜居宜业宜游，得到更多人的认可。在分析原因基础上，评论提出 太原从“网红”到“常红”的建议，明确提出，推动太原“热度”持 续“在线”，应当锚定打造国际知名文化旅游目的地目标，推动文旅深度融合；坚持以人为本，持续提升城市品质；紧盯产业升级转型， 推动高质量发展。</w:t>
            </w:r>
            <w:r>
              <w:rPr>
                <w:rFonts w:ascii="宋体" w:hAnsi="宋体" w:eastAsia="宋体" w:cs="宋体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6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pStyle w:val="4"/>
              <w:spacing w:before="132"/>
              <w:ind w:left="261"/>
              <w:rPr>
                <w:rFonts w:hint="eastAsia"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社会</w:t>
            </w:r>
          </w:p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效果</w:t>
            </w:r>
          </w:p>
        </w:tc>
        <w:tc>
          <w:tcPr>
            <w:tcW w:w="7742" w:type="dxa"/>
            <w:noWrap w:val="0"/>
            <w:vAlign w:val="top"/>
          </w:tcPr>
          <w:p>
            <w:pPr>
              <w:pStyle w:val="4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pStyle w:val="4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pStyle w:val="4"/>
              <w:ind w:firstLine="480" w:firstLineChars="200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</w:p>
          <w:p>
            <w:pPr>
              <w:pStyle w:val="4"/>
              <w:ind w:firstLine="480" w:firstLineChars="200"/>
              <w:rPr>
                <w:rFonts w:ascii="Times New Roman"/>
                <w:sz w:val="30"/>
              </w:rPr>
            </w:pPr>
            <w:r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  <w:t>刊发后，得到了各界的充分肯定，为太原聚力</w:t>
            </w:r>
            <w:r>
              <w:rPr>
                <w:rFonts w:hint="eastAsia" w:ascii="宋体" w:hAnsi="宋体" w:eastAsia="宋体" w:cs="宋体"/>
                <w:sz w:val="24"/>
              </w:rPr>
              <w:t>书写城市高质量发展的精彩答卷</w:t>
            </w:r>
            <w:r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  <w:t>凝聚力量、营造氛围。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420" w:lineRule="exact"/>
        <w:jc w:val="both"/>
        <w:rPr>
          <w:rFonts w:hint="eastAsia" w:ascii="楷体" w:hAnsi="楷体" w:eastAsia="楷体" w:cs="Times New Roman"/>
          <w:b w:val="0"/>
          <w:bCs w:val="0"/>
          <w:sz w:val="32"/>
          <w:szCs w:val="32"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E097C"/>
    <w:rsid w:val="122234B1"/>
    <w:rsid w:val="32A561B2"/>
    <w:rsid w:val="38F009F0"/>
    <w:rsid w:val="40550622"/>
    <w:rsid w:val="52FE097C"/>
    <w:rsid w:val="55693AFA"/>
    <w:rsid w:val="75E5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2024-03-28T08:14:00Z</dcterms:created>
  <dc:creator>娟儿</dc:creator>
  <cp:lastModifiedBy>古道西风</cp:lastModifiedBy>
  <cp:lastPrinted>2024-03-28T09:55:00Z</cp:lastPrinted>
  <dcterms:modified xsi:type="dcterms:W3CDTF">2024-03-29T02:18:11Z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