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line="360" w:lineRule="exact"/>
        <w:jc w:val="center"/>
        <w:rPr>
          <w:rFonts w:ascii="华文中宋" w:hAnsi="华文中宋" w:eastAsia="华文中宋"/>
          <w:sz w:val="36"/>
          <w:szCs w:val="36"/>
        </w:rPr>
      </w:pPr>
      <w:r>
        <w:rPr>
          <w:rFonts w:hint="eastAsia" w:ascii="华文中宋" w:hAnsi="华文中宋" w:eastAsia="华文中宋"/>
          <w:sz w:val="36"/>
          <w:szCs w:val="36"/>
        </w:rPr>
        <w:t>中国新闻奖参评作品推荐表</w:t>
      </w:r>
    </w:p>
    <w:tbl>
      <w:tblPr>
        <w:tblStyle w:val="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50"/>
        <w:gridCol w:w="2725"/>
        <w:gridCol w:w="1460"/>
        <w:gridCol w:w="893"/>
        <w:gridCol w:w="567"/>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trPr>
        <w:tc>
          <w:tcPr>
            <w:tcW w:w="1551" w:type="dxa"/>
            <w:gridSpan w:val="2"/>
            <w:vMerge w:val="restart"/>
            <w:vAlign w:val="center"/>
          </w:tcPr>
          <w:p>
            <w:pPr>
              <w:spacing w:line="380" w:lineRule="exact"/>
              <w:jc w:val="center"/>
              <w:rPr>
                <w:rFonts w:ascii="华文中宋" w:hAnsi="华文中宋" w:eastAsia="华文中宋"/>
                <w:sz w:val="28"/>
              </w:rPr>
            </w:pPr>
            <w:r>
              <w:rPr>
                <w:rFonts w:hint="eastAsia" w:ascii="华文中宋" w:hAnsi="华文中宋" w:eastAsia="华文中宋"/>
                <w:sz w:val="28"/>
              </w:rPr>
              <w:t>作品标题</w:t>
            </w:r>
          </w:p>
        </w:tc>
        <w:tc>
          <w:tcPr>
            <w:tcW w:w="4185"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新时代的中国：</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华文中宋" w:hAnsi="华文中宋" w:eastAsia="华文中宋"/>
                <w:sz w:val="28"/>
              </w:rPr>
            </w:pPr>
            <w:r>
              <w:rPr>
                <w:rFonts w:hint="eastAsia" w:ascii="宋体" w:hAnsi="宋体" w:eastAsia="宋体" w:cs="宋体"/>
                <w:b/>
                <w:bCs/>
                <w:sz w:val="21"/>
                <w:szCs w:val="21"/>
                <w:lang w:eastAsia="zh-CN"/>
              </w:rPr>
              <w:t>山西新转型</w:t>
            </w:r>
            <w:r>
              <w:rPr>
                <w:rFonts w:hint="eastAsia" w:ascii="宋体" w:hAnsi="宋体" w:eastAsia="宋体" w:cs="宋体"/>
                <w:b/>
                <w:bCs/>
                <w:sz w:val="21"/>
                <w:szCs w:val="21"/>
                <w:lang w:val="en-US" w:eastAsia="zh-CN"/>
              </w:rPr>
              <w:t xml:space="preserve"> 共享新未来</w:t>
            </w:r>
          </w:p>
        </w:tc>
        <w:tc>
          <w:tcPr>
            <w:tcW w:w="1460" w:type="dxa"/>
            <w:gridSpan w:val="2"/>
            <w:tcBorders>
              <w:top w:val="single" w:color="auto" w:sz="4" w:space="0"/>
              <w:left w:val="single" w:color="auto" w:sz="4" w:space="0"/>
              <w:right w:val="single" w:color="auto" w:sz="4" w:space="0"/>
            </w:tcBorders>
            <w:vAlign w:val="center"/>
          </w:tcPr>
          <w:p>
            <w:pPr>
              <w:spacing w:line="380" w:lineRule="exact"/>
              <w:jc w:val="center"/>
              <w:rPr>
                <w:rFonts w:ascii="华文中宋" w:hAnsi="华文中宋" w:eastAsia="华文中宋"/>
                <w:sz w:val="28"/>
              </w:rPr>
            </w:pPr>
            <w:r>
              <w:rPr>
                <w:rFonts w:hint="eastAsia" w:ascii="华文中宋" w:hAnsi="华文中宋" w:eastAsia="华文中宋"/>
                <w:sz w:val="28"/>
              </w:rPr>
              <w:t>参评项目</w:t>
            </w:r>
          </w:p>
        </w:tc>
        <w:tc>
          <w:tcPr>
            <w:tcW w:w="2551" w:type="dxa"/>
            <w:tcBorders>
              <w:top w:val="single" w:color="auto" w:sz="4" w:space="0"/>
              <w:left w:val="single" w:color="auto" w:sz="4" w:space="0"/>
              <w:right w:val="single" w:color="auto" w:sz="4" w:space="0"/>
            </w:tcBorders>
            <w:vAlign w:val="center"/>
          </w:tcPr>
          <w:p>
            <w:pPr>
              <w:jc w:val="center"/>
              <w:rPr>
                <w:rFonts w:hint="eastAsia" w:ascii="仿宋_GB2312" w:eastAsia="仿宋_GB2312"/>
                <w:sz w:val="28"/>
                <w:lang w:eastAsia="zh-CN"/>
              </w:rPr>
            </w:pPr>
            <w:r>
              <w:rPr>
                <w:rFonts w:hint="eastAsia" w:ascii="宋体" w:hAnsi="宋体" w:eastAsia="宋体" w:cs="宋体"/>
                <w:b/>
                <w:bCs/>
                <w:sz w:val="21"/>
                <w:szCs w:val="21"/>
                <w:lang w:eastAsia="zh-CN"/>
              </w:rPr>
              <w:t>国际传播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7" w:hRule="exact"/>
        </w:trPr>
        <w:tc>
          <w:tcPr>
            <w:tcW w:w="1551" w:type="dxa"/>
            <w:gridSpan w:val="2"/>
            <w:vMerge w:val="continue"/>
            <w:vAlign w:val="center"/>
          </w:tcPr>
          <w:p>
            <w:pPr>
              <w:spacing w:line="380" w:lineRule="exact"/>
              <w:jc w:val="center"/>
              <w:rPr>
                <w:rFonts w:ascii="华文中宋" w:hAnsi="华文中宋" w:eastAsia="华文中宋"/>
                <w:sz w:val="28"/>
              </w:rPr>
            </w:pPr>
          </w:p>
        </w:tc>
        <w:tc>
          <w:tcPr>
            <w:tcW w:w="4185" w:type="dxa"/>
            <w:gridSpan w:val="2"/>
            <w:vMerge w:val="continue"/>
            <w:tcBorders>
              <w:top w:val="single" w:color="auto" w:sz="4" w:space="0"/>
              <w:left w:val="single" w:color="auto" w:sz="4" w:space="0"/>
              <w:right w:val="single" w:color="auto" w:sz="4" w:space="0"/>
            </w:tcBorders>
            <w:vAlign w:val="center"/>
          </w:tcPr>
          <w:p>
            <w:pPr>
              <w:spacing w:line="380" w:lineRule="exact"/>
              <w:jc w:val="center"/>
              <w:rPr>
                <w:rFonts w:ascii="华文中宋" w:hAnsi="华文中宋" w:eastAsia="华文中宋"/>
                <w:sz w:val="28"/>
              </w:rPr>
            </w:pPr>
          </w:p>
        </w:tc>
        <w:tc>
          <w:tcPr>
            <w:tcW w:w="893" w:type="dxa"/>
            <w:tcBorders>
              <w:top w:val="single" w:color="auto" w:sz="4" w:space="0"/>
              <w:left w:val="single" w:color="auto" w:sz="4" w:space="0"/>
              <w:right w:val="single" w:color="auto" w:sz="4" w:space="0"/>
            </w:tcBorders>
            <w:vAlign w:val="center"/>
          </w:tcPr>
          <w:p>
            <w:pPr>
              <w:spacing w:line="380" w:lineRule="exact"/>
              <w:jc w:val="center"/>
              <w:rPr>
                <w:rFonts w:ascii="华文中宋" w:hAnsi="华文中宋" w:eastAsia="华文中宋"/>
                <w:sz w:val="28"/>
              </w:rPr>
            </w:pPr>
            <w:r>
              <w:rPr>
                <w:rFonts w:hint="eastAsia" w:ascii="华文中宋" w:hAnsi="华文中宋" w:eastAsia="华文中宋"/>
                <w:sz w:val="28"/>
              </w:rPr>
              <w:t>体裁</w:t>
            </w:r>
          </w:p>
        </w:tc>
        <w:tc>
          <w:tcPr>
            <w:tcW w:w="3118" w:type="dxa"/>
            <w:gridSpan w:val="2"/>
            <w:tcBorders>
              <w:top w:val="single" w:color="auto" w:sz="4" w:space="0"/>
              <w:left w:val="single" w:color="auto" w:sz="4" w:space="0"/>
              <w:right w:val="single" w:color="auto" w:sz="4" w:space="0"/>
            </w:tcBorders>
            <w:vAlign w:val="center"/>
          </w:tcPr>
          <w:p>
            <w:pPr>
              <w:spacing w:line="260" w:lineRule="exact"/>
              <w:jc w:val="center"/>
              <w:rPr>
                <w:rFonts w:hint="eastAsia" w:ascii="仿宋_GB2312" w:hAnsi="仿宋" w:eastAsia="仿宋_GB2312"/>
                <w:sz w:val="28"/>
                <w:lang w:val="en-US" w:eastAsia="zh-CN"/>
              </w:rPr>
            </w:pPr>
            <w:r>
              <w:rPr>
                <w:rFonts w:hint="eastAsia" w:ascii="宋体" w:hAnsi="宋体" w:eastAsia="宋体" w:cs="宋体"/>
                <w:b/>
                <w:bCs/>
                <w:sz w:val="21"/>
                <w:szCs w:val="21"/>
                <w:lang w:eastAsia="zh-CN"/>
              </w:rPr>
              <w:t>国际传播</w:t>
            </w:r>
            <w:r>
              <w:rPr>
                <w:rFonts w:hint="eastAsia" w:ascii="宋体" w:hAnsi="宋体" w:eastAsia="宋体" w:cs="宋体"/>
                <w:b/>
                <w:bCs/>
                <w:sz w:val="21"/>
                <w:szCs w:val="21"/>
                <w:lang w:val="en-US" w:eastAsia="zh-CN"/>
              </w:rPr>
              <w:t xml:space="preserve"> </w:t>
            </w:r>
            <w:r>
              <w:rPr>
                <w:rFonts w:hint="eastAsia" w:ascii="宋体" w:hAnsi="宋体" w:cs="宋体"/>
                <w:b/>
                <w:bCs/>
                <w:sz w:val="21"/>
                <w:szCs w:val="21"/>
                <w:lang w:val="en-US" w:eastAsia="zh-CN"/>
              </w:rPr>
              <w:t>电视</w:t>
            </w:r>
            <w:r>
              <w:rPr>
                <w:rFonts w:hint="eastAsia" w:ascii="宋体" w:hAnsi="宋体" w:eastAsia="宋体" w:cs="宋体"/>
                <w:b/>
                <w:bCs/>
                <w:sz w:val="21"/>
                <w:szCs w:val="21"/>
                <w:lang w:val="en-US" w:eastAsia="zh-CN"/>
              </w:rPr>
              <w:t>新闻专题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exact"/>
        </w:trPr>
        <w:tc>
          <w:tcPr>
            <w:tcW w:w="1551" w:type="dxa"/>
            <w:gridSpan w:val="2"/>
            <w:vMerge w:val="continue"/>
            <w:vAlign w:val="center"/>
          </w:tcPr>
          <w:p>
            <w:pPr>
              <w:spacing w:line="380" w:lineRule="exact"/>
              <w:jc w:val="center"/>
              <w:rPr>
                <w:rFonts w:ascii="华文中宋" w:hAnsi="华文中宋" w:eastAsia="华文中宋"/>
                <w:sz w:val="28"/>
              </w:rPr>
            </w:pPr>
          </w:p>
        </w:tc>
        <w:tc>
          <w:tcPr>
            <w:tcW w:w="4185" w:type="dxa"/>
            <w:gridSpan w:val="2"/>
            <w:vMerge w:val="continue"/>
            <w:tcBorders>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8"/>
              </w:rPr>
            </w:pPr>
          </w:p>
        </w:tc>
        <w:tc>
          <w:tcPr>
            <w:tcW w:w="893" w:type="dxa"/>
            <w:tcBorders>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8"/>
              </w:rPr>
            </w:pPr>
            <w:r>
              <w:rPr>
                <w:rFonts w:hint="eastAsia" w:ascii="华文中宋" w:hAnsi="华文中宋" w:eastAsia="华文中宋"/>
                <w:sz w:val="28"/>
              </w:rPr>
              <w:t>语种</w:t>
            </w:r>
          </w:p>
        </w:tc>
        <w:tc>
          <w:tcPr>
            <w:tcW w:w="3118" w:type="dxa"/>
            <w:gridSpan w:val="2"/>
            <w:tcBorders>
              <w:left w:val="single" w:color="auto" w:sz="4" w:space="0"/>
              <w:bottom w:val="single" w:color="auto" w:sz="4" w:space="0"/>
              <w:right w:val="single" w:color="auto" w:sz="4" w:space="0"/>
            </w:tcBorders>
            <w:vAlign w:val="center"/>
          </w:tcPr>
          <w:p>
            <w:pPr>
              <w:jc w:val="center"/>
              <w:rPr>
                <w:rFonts w:hint="eastAsia" w:ascii="仿宋_GB2312" w:eastAsia="仿宋_GB2312"/>
                <w:sz w:val="28"/>
                <w:lang w:val="en-US" w:eastAsia="zh-CN"/>
              </w:rPr>
            </w:pPr>
            <w:r>
              <w:rPr>
                <w:rFonts w:hint="eastAsia" w:ascii="宋体" w:hAnsi="宋体" w:cs="宋体"/>
                <w:b/>
                <w:bCs/>
                <w:sz w:val="21"/>
                <w:szCs w:val="21"/>
                <w:lang w:val="en-US" w:eastAsia="zh-CN"/>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51" w:type="dxa"/>
            <w:gridSpan w:val="2"/>
            <w:vAlign w:val="center"/>
          </w:tcPr>
          <w:p>
            <w:pPr>
              <w:spacing w:line="320" w:lineRule="exact"/>
              <w:jc w:val="center"/>
              <w:rPr>
                <w:rFonts w:ascii="华文中宋" w:hAnsi="华文中宋" w:eastAsia="华文中宋"/>
                <w:spacing w:val="-12"/>
                <w:sz w:val="28"/>
              </w:rPr>
            </w:pPr>
            <w:r>
              <w:rPr>
                <w:rFonts w:hint="eastAsia" w:ascii="华文中宋" w:hAnsi="华文中宋" w:eastAsia="华文中宋"/>
                <w:spacing w:val="-12"/>
                <w:sz w:val="28"/>
              </w:rPr>
              <w:t>作  者</w:t>
            </w:r>
          </w:p>
          <w:p>
            <w:pPr>
              <w:spacing w:line="320" w:lineRule="exact"/>
              <w:jc w:val="center"/>
              <w:rPr>
                <w:rFonts w:ascii="华文中宋" w:hAnsi="华文中宋" w:eastAsia="华文中宋"/>
                <w:spacing w:val="-12"/>
                <w:sz w:val="24"/>
              </w:rPr>
            </w:pPr>
            <w:r>
              <w:rPr>
                <w:rFonts w:hint="eastAsia" w:ascii="华文中宋" w:hAnsi="华文中宋" w:eastAsia="华文中宋"/>
                <w:spacing w:val="-12"/>
                <w:sz w:val="24"/>
              </w:rPr>
              <w:t>（主创人员）</w:t>
            </w:r>
          </w:p>
        </w:tc>
        <w:tc>
          <w:tcPr>
            <w:tcW w:w="2725"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刘英魁</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eastAsia="zh-CN"/>
              </w:rPr>
              <w:t>陶亿笑 梁晓琦</w:t>
            </w:r>
          </w:p>
          <w:p>
            <w:pPr>
              <w:spacing w:line="380" w:lineRule="exact"/>
              <w:jc w:val="center"/>
              <w:rPr>
                <w:rFonts w:ascii="仿宋_GB2312" w:hAnsi="华文中宋" w:eastAsia="仿宋_GB2312"/>
                <w:sz w:val="28"/>
              </w:rPr>
            </w:pPr>
            <w:r>
              <w:rPr>
                <w:rFonts w:hint="eastAsia" w:ascii="宋体" w:hAnsi="宋体" w:eastAsia="宋体" w:cs="宋体"/>
                <w:b/>
                <w:bCs/>
                <w:sz w:val="21"/>
                <w:szCs w:val="21"/>
                <w:lang w:eastAsia="zh-CN"/>
              </w:rPr>
              <w:t>王淑辉 毋金贝 王琛 齐婧</w:t>
            </w:r>
          </w:p>
        </w:tc>
        <w:tc>
          <w:tcPr>
            <w:tcW w:w="1460" w:type="dxa"/>
            <w:tcBorders>
              <w:top w:val="single" w:color="auto" w:sz="4" w:space="0"/>
              <w:left w:val="single" w:color="auto" w:sz="4" w:space="0"/>
              <w:bottom w:val="single" w:color="auto" w:sz="4" w:space="0"/>
              <w:right w:val="single" w:color="auto" w:sz="4" w:space="0"/>
            </w:tcBorders>
            <w:vAlign w:val="center"/>
          </w:tcPr>
          <w:p>
            <w:pPr>
              <w:jc w:val="center"/>
              <w:rPr>
                <w:rFonts w:ascii="华文中宋" w:hAnsi="华文中宋" w:eastAsia="华文中宋"/>
                <w:sz w:val="28"/>
              </w:rPr>
            </w:pPr>
            <w:r>
              <w:rPr>
                <w:rFonts w:hint="eastAsia" w:ascii="华文中宋" w:hAnsi="华文中宋" w:eastAsia="华文中宋"/>
                <w:sz w:val="28"/>
              </w:rPr>
              <w:t>编辑</w:t>
            </w:r>
          </w:p>
        </w:tc>
        <w:tc>
          <w:tcPr>
            <w:tcW w:w="4011" w:type="dxa"/>
            <w:gridSpan w:val="3"/>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仿宋" w:hAnsi="仿宋" w:eastAsia="仿宋"/>
                <w:color w:val="808080"/>
                <w:w w:val="95"/>
                <w:szCs w:val="21"/>
              </w:rPr>
            </w:pPr>
            <w:r>
              <w:rPr>
                <w:rFonts w:hint="eastAsia" w:ascii="宋体" w:hAnsi="宋体" w:eastAsia="宋体" w:cs="宋体"/>
                <w:b/>
                <w:bCs/>
                <w:sz w:val="21"/>
                <w:szCs w:val="21"/>
                <w:lang w:eastAsia="zh-CN"/>
              </w:rPr>
              <w:t>刘英魁</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eastAsia="zh-CN"/>
              </w:rPr>
              <w:t>陶亿笑 梁晓琦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1551" w:type="dxa"/>
            <w:gridSpan w:val="2"/>
            <w:vAlign w:val="center"/>
          </w:tcPr>
          <w:p>
            <w:pPr>
              <w:jc w:val="center"/>
              <w:rPr>
                <w:rFonts w:ascii="华文中宋" w:hAnsi="华文中宋" w:eastAsia="华文中宋"/>
                <w:sz w:val="28"/>
              </w:rPr>
            </w:pPr>
            <w:r>
              <w:rPr>
                <w:rFonts w:hint="eastAsia" w:ascii="华文中宋" w:hAnsi="华文中宋" w:eastAsia="华文中宋"/>
                <w:sz w:val="28"/>
              </w:rPr>
              <w:t>刊播单位</w:t>
            </w:r>
          </w:p>
        </w:tc>
        <w:tc>
          <w:tcPr>
            <w:tcW w:w="2725"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山西广播电视台</w:t>
            </w:r>
          </w:p>
          <w:p>
            <w:pPr>
              <w:spacing w:line="380" w:lineRule="exact"/>
              <w:jc w:val="center"/>
              <w:rPr>
                <w:rFonts w:hint="eastAsia" w:ascii="宋体" w:hAnsi="宋体" w:eastAsia="宋体" w:cs="宋体"/>
                <w:b/>
                <w:bCs/>
                <w:sz w:val="21"/>
                <w:szCs w:val="21"/>
                <w:lang w:eastAsia="zh-CN"/>
              </w:rPr>
            </w:pPr>
            <w:r>
              <w:rPr>
                <w:rFonts w:hint="eastAsia" w:ascii="宋体" w:hAnsi="宋体" w:eastAsia="宋体" w:cs="宋体"/>
                <w:b/>
                <w:bCs/>
                <w:sz w:val="21"/>
                <w:szCs w:val="21"/>
                <w:lang w:val="en-US" w:eastAsia="zh-CN"/>
              </w:rPr>
              <w:t>(山西卫视</w:t>
            </w:r>
            <w:r>
              <w:rPr>
                <w:rFonts w:hint="eastAsia" w:ascii="宋体" w:hAnsi="宋体" w:eastAsia="宋体" w:cs="宋体"/>
                <w:b/>
                <w:bCs/>
                <w:sz w:val="21"/>
                <w:szCs w:val="21"/>
                <w:lang w:eastAsia="zh-CN"/>
              </w:rPr>
              <w:t>采制</w:t>
            </w:r>
            <w:r>
              <w:rPr>
                <w:rFonts w:hint="eastAsia" w:ascii="宋体" w:hAnsi="宋体" w:eastAsia="宋体" w:cs="宋体"/>
                <w:b/>
                <w:bCs/>
                <w:sz w:val="21"/>
                <w:szCs w:val="21"/>
                <w:lang w:val="en-US" w:eastAsia="zh-CN"/>
              </w:rPr>
              <w:t>)</w:t>
            </w:r>
          </w:p>
          <w:p>
            <w:pPr>
              <w:spacing w:line="240" w:lineRule="exact"/>
              <w:jc w:val="center"/>
              <w:rPr>
                <w:rFonts w:ascii="仿宋" w:hAnsi="仿宋" w:eastAsia="仿宋"/>
                <w:szCs w:val="21"/>
              </w:rPr>
            </w:pPr>
          </w:p>
        </w:tc>
        <w:tc>
          <w:tcPr>
            <w:tcW w:w="1460" w:type="dxa"/>
            <w:tcBorders>
              <w:top w:val="single" w:color="auto" w:sz="4" w:space="0"/>
              <w:left w:val="single" w:color="auto" w:sz="4" w:space="0"/>
              <w:bottom w:val="single" w:color="auto" w:sz="4" w:space="0"/>
              <w:right w:val="single" w:color="auto" w:sz="4" w:space="0"/>
            </w:tcBorders>
            <w:vAlign w:val="center"/>
          </w:tcPr>
          <w:p>
            <w:pPr>
              <w:jc w:val="center"/>
              <w:rPr>
                <w:rFonts w:ascii="华文中宋" w:hAnsi="华文中宋" w:eastAsia="华文中宋"/>
                <w:sz w:val="28"/>
              </w:rPr>
            </w:pPr>
            <w:r>
              <w:rPr>
                <w:rFonts w:hint="eastAsia" w:ascii="华文中宋" w:hAnsi="华文中宋" w:eastAsia="华文中宋"/>
                <w:sz w:val="28"/>
              </w:rPr>
              <w:t>刊播日期</w:t>
            </w:r>
          </w:p>
        </w:tc>
        <w:tc>
          <w:tcPr>
            <w:tcW w:w="401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仿宋" w:eastAsia="仿宋_GB2312"/>
                <w:color w:val="808080"/>
                <w:szCs w:val="21"/>
              </w:rPr>
            </w:pPr>
            <w:r>
              <w:rPr>
                <w:rFonts w:hint="eastAsia" w:ascii="宋体" w:hAnsi="宋体" w:eastAsia="宋体" w:cs="宋体"/>
                <w:b/>
                <w:bCs/>
                <w:sz w:val="21"/>
                <w:szCs w:val="21"/>
                <w:lang w:eastAsia="zh-CN"/>
              </w:rPr>
              <w:t>2019年2月2</w:t>
            </w:r>
            <w:r>
              <w:rPr>
                <w:rFonts w:hint="eastAsia" w:ascii="宋体" w:hAnsi="宋体" w:cs="宋体"/>
                <w:b/>
                <w:bCs/>
                <w:sz w:val="21"/>
                <w:szCs w:val="21"/>
                <w:lang w:val="en-US" w:eastAsia="zh-CN"/>
              </w:rPr>
              <w:t>6</w:t>
            </w:r>
            <w:r>
              <w:rPr>
                <w:rFonts w:hint="eastAsia" w:ascii="宋体" w:hAnsi="宋体" w:eastAsia="宋体" w:cs="宋体"/>
                <w:b/>
                <w:bCs/>
                <w:sz w:val="21"/>
                <w:szCs w:val="21"/>
                <w:lang w:eastAsia="zh-CN"/>
              </w:rPr>
              <w:t>日</w:t>
            </w:r>
            <w:r>
              <w:rPr>
                <w:rFonts w:hint="eastAsia" w:ascii="宋体" w:hAnsi="宋体" w:cs="宋体"/>
                <w:b/>
                <w:bCs/>
                <w:sz w:val="21"/>
                <w:szCs w:val="21"/>
                <w:lang w:val="en-US" w:eastAsia="zh-CN"/>
              </w:rPr>
              <w:t>20</w:t>
            </w:r>
            <w:r>
              <w:rPr>
                <w:rFonts w:hint="eastAsia" w:ascii="宋体" w:hAnsi="宋体" w:eastAsia="宋体" w:cs="宋体"/>
                <w:b/>
                <w:bCs/>
                <w:sz w:val="21"/>
                <w:szCs w:val="21"/>
                <w:lang w:eastAsia="zh-CN"/>
              </w:rPr>
              <w:t>：</w:t>
            </w:r>
            <w:r>
              <w:rPr>
                <w:rFonts w:hint="eastAsia" w:ascii="宋体" w:hAnsi="宋体" w:cs="宋体"/>
                <w:b/>
                <w:bCs/>
                <w:sz w:val="21"/>
                <w:szCs w:val="21"/>
                <w:lang w:val="en-US" w:eastAsia="zh-CN"/>
              </w:rPr>
              <w:t>00</w:t>
            </w:r>
            <w:r>
              <w:rPr>
                <w:rFonts w:hint="eastAsia" w:ascii="宋体" w:hAnsi="宋体" w:eastAsia="宋体" w:cs="宋体"/>
                <w:b/>
                <w:bCs/>
                <w:sz w:val="21"/>
                <w:szCs w:val="21"/>
                <w:lang w:eastAsia="zh-CN"/>
              </w:rPr>
              <w:t>播出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exact"/>
        </w:trPr>
        <w:tc>
          <w:tcPr>
            <w:tcW w:w="1551" w:type="dxa"/>
            <w:gridSpan w:val="2"/>
            <w:vAlign w:val="center"/>
          </w:tcPr>
          <w:p>
            <w:pPr>
              <w:spacing w:line="340" w:lineRule="exact"/>
              <w:jc w:val="center"/>
              <w:rPr>
                <w:rFonts w:ascii="华文中宋" w:hAnsi="华文中宋" w:eastAsia="华文中宋"/>
                <w:sz w:val="24"/>
              </w:rPr>
            </w:pPr>
            <w:r>
              <w:rPr>
                <w:rFonts w:hint="eastAsia" w:ascii="华文中宋" w:hAnsi="华文中宋" w:eastAsia="华文中宋"/>
                <w:sz w:val="28"/>
              </w:rPr>
              <w:t>刊播版面</w:t>
            </w:r>
            <w:r>
              <w:rPr>
                <w:rFonts w:hint="eastAsia" w:ascii="华文中宋" w:hAnsi="华文中宋" w:eastAsia="华文中宋"/>
                <w:spacing w:val="-12"/>
                <w:sz w:val="28"/>
              </w:rPr>
              <w:t>(</w:t>
            </w:r>
            <w:r>
              <w:rPr>
                <w:rFonts w:hint="eastAsia" w:ascii="华文中宋" w:hAnsi="华文中宋" w:eastAsia="华文中宋"/>
                <w:spacing w:val="-12"/>
                <w:sz w:val="24"/>
              </w:rPr>
              <w:t>名称和版次)</w:t>
            </w:r>
          </w:p>
        </w:tc>
        <w:tc>
          <w:tcPr>
            <w:tcW w:w="2725"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 w:hAnsi="仿宋" w:eastAsia="仿宋"/>
                <w:color w:val="808080"/>
                <w:szCs w:val="21"/>
              </w:rPr>
            </w:pPr>
            <w:r>
              <w:rPr>
                <w:rFonts w:hint="eastAsia" w:ascii="宋体" w:hAnsi="宋体" w:eastAsia="宋体" w:cs="宋体"/>
                <w:b/>
                <w:bCs/>
                <w:sz w:val="21"/>
                <w:szCs w:val="21"/>
                <w:lang w:eastAsia="zh-CN"/>
              </w:rPr>
              <w:t>山西卫视《新时代的中国:山西新转型 共享新未来》</w:t>
            </w:r>
          </w:p>
        </w:tc>
        <w:tc>
          <w:tcPr>
            <w:tcW w:w="146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华文中宋" w:hAnsi="华文中宋" w:eastAsia="华文中宋"/>
                <w:sz w:val="28"/>
              </w:rPr>
            </w:pPr>
            <w:r>
              <w:rPr>
                <w:rFonts w:hint="eastAsia" w:ascii="华文中宋" w:hAnsi="华文中宋" w:eastAsia="华文中宋"/>
                <w:sz w:val="28"/>
              </w:rPr>
              <w:t>作品字数</w:t>
            </w:r>
          </w:p>
          <w:p>
            <w:pPr>
              <w:spacing w:line="340" w:lineRule="exact"/>
              <w:jc w:val="center"/>
              <w:rPr>
                <w:rFonts w:ascii="华文中宋" w:hAnsi="华文中宋" w:eastAsia="华文中宋"/>
                <w:sz w:val="28"/>
              </w:rPr>
            </w:pPr>
            <w:r>
              <w:rPr>
                <w:rFonts w:hint="eastAsia" w:ascii="华文中宋" w:hAnsi="华文中宋" w:eastAsia="华文中宋"/>
                <w:spacing w:val="-12"/>
                <w:sz w:val="24"/>
              </w:rPr>
              <w:t>（时长）</w:t>
            </w:r>
          </w:p>
        </w:tc>
        <w:tc>
          <w:tcPr>
            <w:tcW w:w="4011"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olor w:val="808080"/>
                <w:w w:val="95"/>
                <w:szCs w:val="21"/>
              </w:rPr>
            </w:pPr>
            <w:r>
              <w:rPr>
                <w:rFonts w:hint="eastAsia" w:ascii="宋体" w:hAnsi="宋体" w:eastAsia="宋体" w:cs="宋体"/>
                <w:b/>
                <w:bCs/>
                <w:sz w:val="21"/>
                <w:szCs w:val="21"/>
                <w:lang w:eastAsia="zh-CN"/>
              </w:rPr>
              <w:t>8分45秒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1" w:hRule="exact"/>
        </w:trPr>
        <w:tc>
          <w:tcPr>
            <w:tcW w:w="1101" w:type="dxa"/>
            <w:vAlign w:val="center"/>
          </w:tcPr>
          <w:p>
            <w:pPr>
              <w:spacing w:line="340" w:lineRule="exact"/>
              <w:jc w:val="center"/>
              <w:rPr>
                <w:rFonts w:ascii="华文中宋" w:hAnsi="华文中宋" w:eastAsia="华文中宋"/>
                <w:sz w:val="28"/>
              </w:rPr>
            </w:pPr>
            <w:r>
              <w:rPr>
                <w:rFonts w:hint="eastAsia" w:ascii="华文中宋" w:hAnsi="华文中宋" w:eastAsia="华文中宋"/>
                <w:sz w:val="28"/>
              </w:rPr>
              <w:t xml:space="preserve">  ︵</w:t>
            </w:r>
          </w:p>
          <w:p>
            <w:pPr>
              <w:spacing w:line="340" w:lineRule="exact"/>
              <w:jc w:val="center"/>
              <w:rPr>
                <w:rFonts w:ascii="华文中宋" w:hAnsi="华文中宋" w:eastAsia="华文中宋"/>
                <w:sz w:val="28"/>
              </w:rPr>
            </w:pPr>
            <w:r>
              <w:rPr>
                <w:rFonts w:hint="eastAsia" w:ascii="华文中宋" w:hAnsi="华文中宋" w:eastAsia="华文中宋"/>
                <w:sz w:val="28"/>
              </w:rPr>
              <w:t>采作</w:t>
            </w:r>
          </w:p>
          <w:p>
            <w:pPr>
              <w:spacing w:line="340" w:lineRule="exact"/>
              <w:jc w:val="center"/>
              <w:rPr>
                <w:rFonts w:ascii="华文中宋" w:hAnsi="华文中宋" w:eastAsia="华文中宋"/>
                <w:sz w:val="28"/>
              </w:rPr>
            </w:pPr>
            <w:r>
              <w:rPr>
                <w:rFonts w:hint="eastAsia" w:ascii="华文中宋" w:hAnsi="华文中宋" w:eastAsia="华文中宋"/>
                <w:sz w:val="28"/>
              </w:rPr>
              <w:t>编品</w:t>
            </w:r>
          </w:p>
          <w:p>
            <w:pPr>
              <w:spacing w:line="340" w:lineRule="exact"/>
              <w:jc w:val="center"/>
              <w:rPr>
                <w:rFonts w:ascii="华文中宋" w:hAnsi="华文中宋" w:eastAsia="华文中宋"/>
                <w:sz w:val="28"/>
              </w:rPr>
            </w:pPr>
            <w:r>
              <w:rPr>
                <w:rFonts w:hint="eastAsia" w:ascii="华文中宋" w:hAnsi="华文中宋" w:eastAsia="华文中宋"/>
                <w:sz w:val="28"/>
              </w:rPr>
              <w:t>过简</w:t>
            </w:r>
          </w:p>
          <w:p>
            <w:pPr>
              <w:spacing w:line="340" w:lineRule="exact"/>
              <w:jc w:val="center"/>
              <w:rPr>
                <w:rFonts w:ascii="华文中宋" w:hAnsi="华文中宋" w:eastAsia="华文中宋"/>
                <w:sz w:val="28"/>
              </w:rPr>
            </w:pPr>
            <w:r>
              <w:rPr>
                <w:rFonts w:hint="eastAsia" w:ascii="华文中宋" w:hAnsi="华文中宋" w:eastAsia="华文中宋"/>
                <w:sz w:val="28"/>
              </w:rPr>
              <w:t>程介</w:t>
            </w:r>
          </w:p>
          <w:p>
            <w:pPr>
              <w:spacing w:line="340" w:lineRule="exact"/>
              <w:jc w:val="center"/>
              <w:rPr>
                <w:rFonts w:ascii="华文中宋" w:hAnsi="华文中宋" w:eastAsia="华文中宋"/>
                <w:sz w:val="28"/>
              </w:rPr>
            </w:pPr>
            <w:r>
              <w:rPr>
                <w:rFonts w:hint="eastAsia" w:ascii="华文中宋" w:hAnsi="华文中宋" w:eastAsia="华文中宋"/>
                <w:sz w:val="28"/>
              </w:rPr>
              <w:t xml:space="preserve">  ︶</w:t>
            </w:r>
          </w:p>
        </w:tc>
        <w:tc>
          <w:tcPr>
            <w:tcW w:w="864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both"/>
              <w:textAlignment w:val="auto"/>
              <w:outlineLvl w:val="9"/>
              <w:rPr>
                <w:rFonts w:ascii="仿宋_GB2312" w:eastAsia="仿宋_GB2312"/>
                <w:sz w:val="28"/>
              </w:rPr>
            </w:pPr>
            <w:r>
              <w:rPr>
                <w:rFonts w:hint="eastAsia" w:ascii="宋体" w:hAnsi="宋体" w:eastAsia="宋体" w:cs="宋体"/>
                <w:b/>
                <w:bCs/>
                <w:sz w:val="21"/>
                <w:szCs w:val="21"/>
                <w:lang w:eastAsia="zh-CN"/>
              </w:rPr>
              <w:t>《新时代的中国:山西新转型 共享新未来》是外交部山西全球推介活动的主题宣传片，牢牢聚焦山西贯彻习近平新时代中国特色社会主义思想的山西实践和山西智慧，特别是山西作为国家资源型经济转型综合配套改革试验区的探索</w:t>
            </w:r>
            <w:r>
              <w:rPr>
                <w:rFonts w:hint="eastAsia" w:ascii="宋体" w:hAnsi="宋体" w:cs="宋体"/>
                <w:b/>
                <w:bCs/>
                <w:sz w:val="21"/>
                <w:szCs w:val="21"/>
                <w:lang w:eastAsia="zh-CN"/>
              </w:rPr>
              <w:t>，</w:t>
            </w:r>
            <w:r>
              <w:rPr>
                <w:rFonts w:hint="eastAsia" w:ascii="宋体" w:hAnsi="宋体" w:eastAsia="宋体" w:cs="宋体"/>
                <w:b/>
                <w:bCs/>
                <w:sz w:val="21"/>
                <w:szCs w:val="21"/>
                <w:lang w:eastAsia="zh-CN"/>
              </w:rPr>
              <w:t>以及山西争当能源革命排头兵、建设转型综改示范区、打造内陆地区对外开放新高地的行动展开拍摄制作</w:t>
            </w:r>
            <w:r>
              <w:rPr>
                <w:rFonts w:hint="eastAsia" w:ascii="宋体" w:hAnsi="宋体" w:cs="宋体"/>
                <w:b/>
                <w:bCs/>
                <w:sz w:val="21"/>
                <w:szCs w:val="21"/>
                <w:lang w:eastAsia="zh-CN"/>
              </w:rPr>
              <w:t>。</w:t>
            </w:r>
            <w:r>
              <w:rPr>
                <w:rFonts w:hint="eastAsia" w:ascii="宋体" w:hAnsi="宋体" w:eastAsia="宋体" w:cs="宋体"/>
                <w:b/>
                <w:bCs/>
                <w:sz w:val="21"/>
                <w:szCs w:val="21"/>
                <w:lang w:eastAsia="zh-CN"/>
              </w:rPr>
              <w:t>该片还重点展示了山西经济社会协调发展、生态文明建设上的努力和成果</w:t>
            </w:r>
            <w:r>
              <w:rPr>
                <w:rFonts w:hint="eastAsia" w:ascii="宋体" w:hAnsi="宋体" w:cs="宋体"/>
                <w:b/>
                <w:bCs/>
                <w:sz w:val="21"/>
                <w:szCs w:val="21"/>
                <w:lang w:val="en-US" w:eastAsia="zh-CN"/>
              </w:rPr>
              <w:t>。</w:t>
            </w:r>
            <w:r>
              <w:rPr>
                <w:rFonts w:hint="eastAsia" w:ascii="宋体" w:hAnsi="宋体" w:eastAsia="宋体" w:cs="宋体"/>
                <w:b/>
                <w:bCs/>
                <w:sz w:val="21"/>
                <w:szCs w:val="21"/>
                <w:lang w:eastAsia="zh-CN"/>
              </w:rPr>
              <w:t>在制作环节中，全面调动最先进的视听语言表现手段，力求做到思想精深，艺术精湛，制作精良。从传播语态上积极创新，始终关照外宣规律，无论解说词撰写还是镜头拍摄剪辑，始终秉持全球视野、世界之山西的视角，从人类共通情感处落笔，用国际化表达方式，实现该片的见人见事见精神，入脑入心留痕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3" w:hRule="exact"/>
        </w:trPr>
        <w:tc>
          <w:tcPr>
            <w:tcW w:w="1101" w:type="dxa"/>
            <w:vAlign w:val="center"/>
          </w:tcPr>
          <w:p>
            <w:pPr>
              <w:spacing w:line="380" w:lineRule="exact"/>
              <w:jc w:val="center"/>
              <w:rPr>
                <w:rFonts w:ascii="华文中宋" w:hAnsi="华文中宋" w:eastAsia="华文中宋"/>
                <w:sz w:val="28"/>
              </w:rPr>
            </w:pPr>
            <w:r>
              <w:rPr>
                <w:rFonts w:hint="eastAsia" w:ascii="华文中宋" w:hAnsi="华文中宋" w:eastAsia="华文中宋"/>
                <w:sz w:val="28"/>
              </w:rPr>
              <w:t>社</w:t>
            </w:r>
          </w:p>
          <w:p>
            <w:pPr>
              <w:spacing w:line="380" w:lineRule="exact"/>
              <w:jc w:val="center"/>
              <w:rPr>
                <w:rFonts w:ascii="华文中宋" w:hAnsi="华文中宋" w:eastAsia="华文中宋"/>
                <w:sz w:val="28"/>
              </w:rPr>
            </w:pPr>
            <w:r>
              <w:rPr>
                <w:rFonts w:hint="eastAsia" w:ascii="华文中宋" w:hAnsi="华文中宋" w:eastAsia="华文中宋"/>
                <w:sz w:val="28"/>
              </w:rPr>
              <w:t>会</w:t>
            </w:r>
          </w:p>
          <w:p>
            <w:pPr>
              <w:spacing w:line="380" w:lineRule="exact"/>
              <w:jc w:val="center"/>
              <w:rPr>
                <w:rFonts w:ascii="华文中宋" w:hAnsi="华文中宋" w:eastAsia="华文中宋"/>
                <w:sz w:val="28"/>
              </w:rPr>
            </w:pPr>
            <w:r>
              <w:rPr>
                <w:rFonts w:hint="eastAsia" w:ascii="华文中宋" w:hAnsi="华文中宋" w:eastAsia="华文中宋"/>
                <w:sz w:val="28"/>
              </w:rPr>
              <w:t>效</w:t>
            </w:r>
          </w:p>
          <w:p>
            <w:pPr>
              <w:spacing w:line="380" w:lineRule="exact"/>
              <w:jc w:val="center"/>
              <w:rPr>
                <w:rFonts w:ascii="华文中宋" w:hAnsi="华文中宋" w:eastAsia="华文中宋"/>
                <w:sz w:val="28"/>
              </w:rPr>
            </w:pPr>
            <w:r>
              <w:rPr>
                <w:rFonts w:hint="eastAsia" w:ascii="华文中宋" w:hAnsi="华文中宋" w:eastAsia="华文中宋"/>
                <w:sz w:val="28"/>
              </w:rPr>
              <w:t>果</w:t>
            </w:r>
          </w:p>
        </w:tc>
        <w:tc>
          <w:tcPr>
            <w:tcW w:w="8646" w:type="dxa"/>
            <w:gridSpan w:val="6"/>
            <w:tcBorders>
              <w:top w:val="single" w:color="auto" w:sz="4" w:space="0"/>
              <w:left w:val="single" w:color="auto" w:sz="4" w:space="0"/>
              <w:bottom w:val="single" w:color="auto" w:sz="4" w:space="0"/>
              <w:right w:val="single" w:color="auto" w:sz="4" w:space="0"/>
            </w:tcBorders>
            <w:vAlign w:val="center"/>
          </w:tcPr>
          <w:p>
            <w:pPr>
              <w:ind w:firstLine="422" w:firstLineChars="200"/>
              <w:jc w:val="both"/>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本片在外交部蓝厅现场首播，</w:t>
            </w:r>
            <w:r>
              <w:rPr>
                <w:rFonts w:hint="eastAsia" w:ascii="宋体" w:hAnsi="宋体" w:cs="宋体"/>
                <w:b/>
                <w:bCs/>
                <w:sz w:val="21"/>
                <w:szCs w:val="21"/>
                <w:lang w:eastAsia="zh-CN"/>
              </w:rPr>
              <w:t>现</w:t>
            </w:r>
            <w:r>
              <w:rPr>
                <w:rFonts w:hint="eastAsia" w:ascii="宋体" w:hAnsi="宋体" w:eastAsia="宋体" w:cs="宋体"/>
                <w:b/>
                <w:bCs/>
                <w:sz w:val="21"/>
                <w:szCs w:val="21"/>
                <w:lang w:eastAsia="zh-CN"/>
              </w:rPr>
              <w:t>场500多位中外来宾观看，王毅部长及各国来宾现场点赞,反响热烈。之后我省与外交部官方携手，启动海内外全媒体宣推的广泛覆盖，全媒态产品全面跟进，迅速形成融媒强势传播，当天即冲上多个新媒体热搜榜，网友话题留言点击量累计8.5亿。该专题片是外交部山西全球推介活动传播最广、持续时间最长的宣传载体。2月26日人民日报英文客户端刊发了The inland province of Shanxi is increasingly opening up to the world；中国日报刊登了Foreign affairs ministry promotes Shanxi globally</w:t>
            </w:r>
            <w:r>
              <w:rPr>
                <w:rFonts w:hint="eastAsia" w:ascii="宋体" w:hAnsi="宋体" w:cs="宋体"/>
                <w:b/>
                <w:bCs/>
                <w:sz w:val="21"/>
                <w:szCs w:val="21"/>
                <w:lang w:eastAsia="zh-CN"/>
              </w:rPr>
              <w:t>；新华网等都</w:t>
            </w:r>
            <w:r>
              <w:rPr>
                <w:rFonts w:hint="eastAsia" w:ascii="宋体" w:hAnsi="宋体" w:eastAsia="宋体" w:cs="宋体"/>
                <w:b/>
                <w:bCs/>
                <w:sz w:val="21"/>
                <w:szCs w:val="21"/>
                <w:lang w:eastAsia="zh-CN"/>
              </w:rPr>
              <w:t>推送了活动主题宣传片，展示了山西在科技、工业、大数据和AI领域等的最新进展</w:t>
            </w:r>
            <w:r>
              <w:rPr>
                <w:rFonts w:hint="eastAsia" w:ascii="宋体" w:hAnsi="宋体" w:cs="宋体"/>
                <w:b/>
                <w:bCs/>
                <w:sz w:val="21"/>
                <w:szCs w:val="21"/>
                <w:lang w:eastAsia="zh-CN"/>
              </w:rPr>
              <w:t>，</w:t>
            </w:r>
            <w:r>
              <w:rPr>
                <w:rFonts w:hint="eastAsia" w:ascii="宋体" w:hAnsi="宋体" w:eastAsia="宋体" w:cs="宋体"/>
                <w:b/>
                <w:bCs/>
                <w:sz w:val="21"/>
                <w:szCs w:val="21"/>
                <w:lang w:eastAsia="zh-CN"/>
              </w:rPr>
              <w:t>报道了外宾的积极评价。本片</w:t>
            </w:r>
            <w:r>
              <w:rPr>
                <w:rFonts w:hint="eastAsia" w:ascii="宋体" w:hAnsi="宋体" w:cs="宋体"/>
                <w:b/>
                <w:bCs/>
                <w:sz w:val="21"/>
                <w:szCs w:val="21"/>
                <w:lang w:eastAsia="zh-CN"/>
              </w:rPr>
              <w:t>还</w:t>
            </w:r>
            <w:r>
              <w:rPr>
                <w:rFonts w:hint="eastAsia" w:ascii="宋体" w:hAnsi="宋体" w:eastAsia="宋体" w:cs="宋体"/>
                <w:b/>
                <w:bCs/>
                <w:sz w:val="21"/>
                <w:szCs w:val="21"/>
                <w:lang w:eastAsia="zh-CN"/>
              </w:rPr>
              <w:t>先后被译成1</w:t>
            </w:r>
            <w:r>
              <w:rPr>
                <w:rFonts w:hint="eastAsia" w:ascii="宋体" w:hAnsi="宋体" w:eastAsia="宋体" w:cs="宋体"/>
                <w:b/>
                <w:bCs/>
                <w:sz w:val="21"/>
                <w:szCs w:val="21"/>
                <w:lang w:val="en-US" w:eastAsia="zh-CN"/>
              </w:rPr>
              <w:t>0</w:t>
            </w:r>
            <w:r>
              <w:rPr>
                <w:rFonts w:hint="eastAsia" w:ascii="宋体" w:hAnsi="宋体" w:eastAsia="宋体" w:cs="宋体"/>
                <w:b/>
                <w:bCs/>
                <w:sz w:val="21"/>
                <w:szCs w:val="21"/>
                <w:lang w:eastAsia="zh-CN"/>
              </w:rPr>
              <w:t>种语言，用于省委宣传部、省外办、省外专局等部门在山西对外推介</w:t>
            </w:r>
            <w:r>
              <w:rPr>
                <w:rFonts w:hint="eastAsia" w:ascii="宋体" w:hAnsi="宋体" w:cs="宋体"/>
                <w:b/>
                <w:bCs/>
                <w:sz w:val="21"/>
                <w:szCs w:val="21"/>
                <w:lang w:eastAsia="zh-CN"/>
              </w:rPr>
              <w:t>重大</w:t>
            </w:r>
            <w:r>
              <w:rPr>
                <w:rFonts w:hint="eastAsia" w:ascii="宋体" w:hAnsi="宋体" w:eastAsia="宋体" w:cs="宋体"/>
                <w:b/>
                <w:bCs/>
                <w:sz w:val="21"/>
                <w:szCs w:val="21"/>
                <w:lang w:eastAsia="zh-CN"/>
              </w:rPr>
              <w:t>活动中使用，持续不断在国内外广泛传播。</w:t>
            </w:r>
          </w:p>
          <w:p>
            <w:pPr>
              <w:ind w:firstLine="422" w:firstLineChars="200"/>
              <w:jc w:val="both"/>
              <w:rPr>
                <w:rFonts w:ascii="仿宋_GB2312" w:eastAsia="仿宋_GB2312"/>
                <w:sz w:val="28"/>
              </w:rPr>
            </w:pPr>
            <w:r>
              <w:rPr>
                <w:rFonts w:hint="eastAsia" w:ascii="宋体" w:hAnsi="宋体" w:cs="宋体"/>
                <w:b/>
                <w:bCs/>
                <w:sz w:val="21"/>
                <w:szCs w:val="21"/>
                <w:lang w:eastAsia="zh-CN"/>
              </w:rPr>
              <w:t>（另附网页链接）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1" w:hRule="exact"/>
        </w:trPr>
        <w:tc>
          <w:tcPr>
            <w:tcW w:w="1101" w:type="dxa"/>
            <w:vAlign w:val="center"/>
          </w:tcPr>
          <w:p>
            <w:pPr>
              <w:spacing w:line="380" w:lineRule="exact"/>
              <w:jc w:val="center"/>
              <w:rPr>
                <w:rFonts w:ascii="华文中宋" w:hAnsi="华文中宋" w:eastAsia="华文中宋"/>
                <w:sz w:val="28"/>
              </w:rPr>
            </w:pPr>
            <w:r>
              <w:rPr>
                <w:rFonts w:hint="eastAsia" w:ascii="华文中宋" w:hAnsi="华文中宋" w:eastAsia="华文中宋"/>
                <w:sz w:val="28"/>
              </w:rPr>
              <w:t xml:space="preserve">  ︵</w:t>
            </w:r>
          </w:p>
          <w:p>
            <w:pPr>
              <w:spacing w:line="380" w:lineRule="exact"/>
              <w:jc w:val="center"/>
              <w:rPr>
                <w:rFonts w:ascii="华文中宋" w:hAnsi="华文中宋" w:eastAsia="华文中宋"/>
                <w:sz w:val="28"/>
              </w:rPr>
            </w:pPr>
            <w:r>
              <w:rPr>
                <w:rFonts w:hint="eastAsia" w:ascii="华文中宋" w:hAnsi="华文中宋" w:eastAsia="华文中宋"/>
                <w:sz w:val="28"/>
              </w:rPr>
              <w:t>初推</w:t>
            </w:r>
          </w:p>
          <w:p>
            <w:pPr>
              <w:spacing w:line="380" w:lineRule="exact"/>
              <w:jc w:val="center"/>
              <w:rPr>
                <w:rFonts w:ascii="华文中宋" w:hAnsi="华文中宋" w:eastAsia="华文中宋"/>
                <w:sz w:val="28"/>
              </w:rPr>
            </w:pPr>
            <w:r>
              <w:rPr>
                <w:rFonts w:hint="eastAsia" w:ascii="华文中宋" w:hAnsi="华文中宋" w:eastAsia="华文中宋"/>
                <w:sz w:val="28"/>
              </w:rPr>
              <w:t>评荐</w:t>
            </w:r>
          </w:p>
          <w:p>
            <w:pPr>
              <w:spacing w:line="380" w:lineRule="exact"/>
              <w:jc w:val="center"/>
              <w:rPr>
                <w:rFonts w:ascii="华文中宋" w:hAnsi="华文中宋" w:eastAsia="华文中宋"/>
                <w:sz w:val="28"/>
              </w:rPr>
            </w:pPr>
            <w:r>
              <w:rPr>
                <w:rFonts w:hint="eastAsia" w:ascii="华文中宋" w:hAnsi="华文中宋" w:eastAsia="华文中宋"/>
                <w:sz w:val="28"/>
              </w:rPr>
              <w:t>评理</w:t>
            </w:r>
          </w:p>
          <w:p>
            <w:pPr>
              <w:spacing w:line="380" w:lineRule="exact"/>
              <w:jc w:val="center"/>
              <w:rPr>
                <w:rFonts w:ascii="华文中宋" w:hAnsi="华文中宋" w:eastAsia="华文中宋"/>
                <w:sz w:val="28"/>
              </w:rPr>
            </w:pPr>
            <w:r>
              <w:rPr>
                <w:rFonts w:hint="eastAsia" w:ascii="华文中宋" w:hAnsi="华文中宋" w:eastAsia="华文中宋"/>
                <w:sz w:val="28"/>
              </w:rPr>
              <w:t>语由</w:t>
            </w:r>
          </w:p>
          <w:p>
            <w:pPr>
              <w:spacing w:line="380" w:lineRule="exact"/>
              <w:jc w:val="center"/>
              <w:rPr>
                <w:rFonts w:ascii="华文中宋" w:hAnsi="华文中宋" w:eastAsia="华文中宋"/>
                <w:sz w:val="28"/>
              </w:rPr>
            </w:pPr>
            <w:r>
              <w:rPr>
                <w:rFonts w:hint="eastAsia" w:ascii="华文中宋" w:hAnsi="华文中宋" w:eastAsia="华文中宋"/>
                <w:sz w:val="28"/>
              </w:rPr>
              <w:t xml:space="preserve">  ︶</w:t>
            </w:r>
          </w:p>
        </w:tc>
        <w:tc>
          <w:tcPr>
            <w:tcW w:w="8646" w:type="dxa"/>
            <w:gridSpan w:val="6"/>
            <w:tcBorders>
              <w:top w:val="single" w:color="auto" w:sz="4" w:space="0"/>
              <w:left w:val="single" w:color="auto" w:sz="4" w:space="0"/>
              <w:bottom w:val="single" w:color="auto" w:sz="4" w:space="0"/>
              <w:right w:val="single" w:color="auto" w:sz="4" w:space="0"/>
            </w:tcBorders>
            <w:vAlign w:val="center"/>
          </w:tcPr>
          <w:p>
            <w:pPr>
              <w:ind w:firstLine="422" w:firstLineChars="200"/>
              <w:jc w:val="both"/>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此专题片是近年来我省传播山西美好形象，引导力、影响力、传播力、美誉度俱佳的一部精品力作。</w:t>
            </w:r>
          </w:p>
          <w:p>
            <w:pPr>
              <w:spacing w:line="360" w:lineRule="exact"/>
              <w:ind w:firstLine="3864" w:firstLineChars="1400"/>
              <w:jc w:val="both"/>
              <w:rPr>
                <w:rFonts w:hint="eastAsia" w:ascii="华文中宋" w:hAnsi="华文中宋" w:eastAsia="华文中宋"/>
                <w:spacing w:val="-2"/>
                <w:sz w:val="28"/>
              </w:rPr>
            </w:pPr>
          </w:p>
          <w:p>
            <w:pPr>
              <w:spacing w:line="360" w:lineRule="exact"/>
              <w:ind w:firstLine="3864" w:firstLineChars="1400"/>
              <w:jc w:val="both"/>
              <w:rPr>
                <w:rFonts w:ascii="华文中宋" w:hAnsi="华文中宋" w:eastAsia="华文中宋"/>
                <w:spacing w:val="-2"/>
                <w:sz w:val="28"/>
              </w:rPr>
            </w:pPr>
            <w:r>
              <w:rPr>
                <w:rFonts w:hint="eastAsia" w:ascii="华文中宋" w:hAnsi="华文中宋" w:eastAsia="华文中宋"/>
                <w:spacing w:val="-2"/>
                <w:sz w:val="28"/>
              </w:rPr>
              <w:t>签名：</w:t>
            </w:r>
          </w:p>
          <w:p>
            <w:pPr>
              <w:spacing w:line="360" w:lineRule="exact"/>
              <w:ind w:firstLine="5460" w:firstLineChars="1950"/>
              <w:jc w:val="both"/>
              <w:rPr>
                <w:rFonts w:ascii="华文中宋" w:hAnsi="华文中宋" w:eastAsia="华文中宋"/>
                <w:sz w:val="28"/>
              </w:rPr>
            </w:pPr>
            <w:r>
              <w:rPr>
                <w:rFonts w:hint="eastAsia" w:ascii="华文中宋" w:hAnsi="华文中宋" w:eastAsia="华文中宋"/>
                <w:sz w:val="28"/>
              </w:rPr>
              <w:t>（盖单位公章）</w:t>
            </w:r>
          </w:p>
          <w:p>
            <w:pPr>
              <w:spacing w:line="360" w:lineRule="exact"/>
              <w:jc w:val="both"/>
              <w:rPr>
                <w:rFonts w:ascii="仿宋_GB2312" w:eastAsia="仿宋_GB2312"/>
                <w:sz w:val="28"/>
              </w:rPr>
            </w:pPr>
            <w:r>
              <w:rPr>
                <w:rFonts w:hint="eastAsia" w:ascii="仿宋_GB2312" w:eastAsia="仿宋_GB2312"/>
                <w:sz w:val="28"/>
              </w:rPr>
              <w:t xml:space="preserve">                                      </w:t>
            </w:r>
            <w:r>
              <w:rPr>
                <w:rFonts w:ascii="华文中宋" w:hAnsi="华文中宋" w:eastAsia="华文中宋"/>
                <w:sz w:val="28"/>
              </w:rPr>
              <w:t>20</w:t>
            </w:r>
            <w:r>
              <w:rPr>
                <w:rFonts w:hint="eastAsia" w:ascii="华文中宋" w:hAnsi="华文中宋" w:eastAsia="华文中宋"/>
                <w:sz w:val="28"/>
              </w:rPr>
              <w:t>20</w:t>
            </w:r>
            <w:r>
              <w:rPr>
                <w:rFonts w:ascii="华文中宋" w:hAnsi="华文中宋" w:eastAsia="华文中宋"/>
                <w:sz w:val="28"/>
              </w:rPr>
              <w:t>年</w:t>
            </w:r>
            <w:r>
              <w:rPr>
                <w:rFonts w:hint="eastAsia" w:ascii="华文中宋" w:hAnsi="华文中宋" w:eastAsia="华文中宋"/>
                <w:sz w:val="28"/>
                <w:lang w:val="en-US" w:eastAsia="zh-CN"/>
              </w:rPr>
              <w:t>5</w:t>
            </w:r>
            <w:r>
              <w:rPr>
                <w:rFonts w:hint="eastAsia" w:ascii="华文中宋" w:hAnsi="华文中宋" w:eastAsia="华文中宋"/>
                <w:sz w:val="28"/>
              </w:rPr>
              <w:t>月</w:t>
            </w:r>
            <w:r>
              <w:rPr>
                <w:rFonts w:hint="eastAsia" w:ascii="华文中宋" w:hAnsi="华文中宋" w:eastAsia="华文中宋"/>
                <w:sz w:val="28"/>
                <w:lang w:val="en-US" w:eastAsia="zh-CN"/>
              </w:rPr>
              <w:t>29</w:t>
            </w:r>
            <w:r>
              <w:rPr>
                <w:rFonts w:hint="eastAsia" w:ascii="华文中宋" w:hAnsi="华文中宋" w:eastAsia="华文中宋"/>
                <w:sz w:val="28"/>
              </w:rPr>
              <w:t>日</w:t>
            </w:r>
          </w:p>
        </w:tc>
      </w:tr>
    </w:tbl>
    <w:p>
      <w:pPr>
        <w:ind w:firstLine="422" w:firstLineChars="200"/>
        <w:rPr>
          <w:rFonts w:hint="eastAsia"/>
          <w:b/>
          <w:bCs/>
          <w:lang w:val="en-US" w:eastAsia="zh-CN"/>
        </w:rPr>
      </w:pPr>
      <w:r>
        <w:rPr>
          <w:rFonts w:hint="eastAsia"/>
          <w:b/>
          <w:bCs/>
          <w:lang w:val="en-US" w:eastAsia="zh-CN"/>
        </w:rPr>
        <w:t>2019月2月25外交部在蓝厅举办山西全球推介活动, 以“新时代的中国：山西新转型 共享新未来”为主题的宣传视频及文字，在2月21日至2月28日在全球广为传播，期间共有258家中国驻外外交机构666篇涉外交部山西全球推介活动的报道，55家境外媒体及机构75篇报道，71个境外社交媒体推特账号发布的76条推广。</w:t>
      </w:r>
    </w:p>
    <w:p>
      <w:pPr>
        <w:ind w:firstLine="422" w:firstLineChars="200"/>
        <w:rPr>
          <w:rFonts w:hint="eastAsia"/>
          <w:b/>
          <w:bCs/>
          <w:lang w:val="en-US" w:eastAsia="zh-CN"/>
        </w:rPr>
      </w:pPr>
      <w:r>
        <w:rPr>
          <w:rFonts w:hint="eastAsia"/>
          <w:b/>
          <w:bCs/>
          <w:lang w:val="en-US" w:eastAsia="zh-CN"/>
        </w:rPr>
        <w:drawing>
          <wp:inline distT="0" distB="0" distL="114300" distR="114300">
            <wp:extent cx="5190490" cy="3338830"/>
            <wp:effectExtent l="0" t="0" r="10160" b="13970"/>
            <wp:docPr id="1" name="图片 1" descr="d4fd4b043754bc90172bbc98ed51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4fd4b043754bc90172bbc98ed51cfc"/>
                    <pic:cNvPicPr>
                      <a:picLocks noChangeAspect="1"/>
                    </pic:cNvPicPr>
                  </pic:nvPicPr>
                  <pic:blipFill>
                    <a:blip r:embed="rId7"/>
                    <a:stretch>
                      <a:fillRect/>
                    </a:stretch>
                  </pic:blipFill>
                  <pic:spPr>
                    <a:xfrm>
                      <a:off x="0" y="0"/>
                      <a:ext cx="5190490" cy="3338830"/>
                    </a:xfrm>
                    <a:prstGeom prst="rect">
                      <a:avLst/>
                    </a:prstGeom>
                  </pic:spPr>
                </pic:pic>
              </a:graphicData>
            </a:graphic>
          </wp:inline>
        </w:drawing>
      </w:r>
    </w:p>
    <w:p>
      <w:pPr>
        <w:ind w:firstLine="843" w:firstLineChars="400"/>
        <w:rPr>
          <w:rFonts w:hint="eastAsia"/>
          <w:b/>
          <w:bCs/>
          <w:lang w:val="en-US" w:eastAsia="zh-CN"/>
        </w:rPr>
      </w:pPr>
    </w:p>
    <w:p>
      <w:pPr>
        <w:ind w:firstLine="422" w:firstLineChars="200"/>
        <w:rPr>
          <w:rFonts w:hint="eastAsia"/>
          <w:b/>
          <w:bCs/>
          <w:lang w:val="en-US" w:eastAsia="zh-CN"/>
        </w:rPr>
      </w:pPr>
      <w:r>
        <w:rPr>
          <w:rFonts w:hint="eastAsia"/>
          <w:b/>
          <w:bCs/>
          <w:lang w:val="en-US" w:eastAsia="zh-CN"/>
        </w:rPr>
        <w:t>2月25日活动当天境外媒体和网民关注度达到顶峰。来自172个国家和地区的258家我驻外外交机构参与传播，是境外宣传的主力。境外媒体方面，来自美国、日本、英国、新加坡、西班牙、俄罗斯等14个国家及地区的55家媒体和机构报道，包括英国路透社、美国纽约时报网、新加坡联合早报网、香港南华早报网等。</w:t>
      </w:r>
    </w:p>
    <w:p>
      <w:pPr>
        <w:ind w:firstLine="422" w:firstLineChars="200"/>
        <w:rPr>
          <w:rFonts w:hint="eastAsia"/>
          <w:b/>
          <w:bCs/>
          <w:lang w:val="en-US" w:eastAsia="zh-CN"/>
        </w:rPr>
      </w:pP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drawing>
          <wp:inline distT="0" distB="0" distL="114300" distR="114300">
            <wp:extent cx="5222240" cy="2874645"/>
            <wp:effectExtent l="0" t="0" r="16510" b="1905"/>
            <wp:docPr id="5" name="图片 5" descr="c621e93b44a8e6d0bcca268c2556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621e93b44a8e6d0bcca268c25568ac"/>
                    <pic:cNvPicPr>
                      <a:picLocks noChangeAspect="1"/>
                    </pic:cNvPicPr>
                  </pic:nvPicPr>
                  <pic:blipFill>
                    <a:blip r:embed="rId8"/>
                    <a:srcRect r="-262" b="15386"/>
                    <a:stretch>
                      <a:fillRect/>
                    </a:stretch>
                  </pic:blipFill>
                  <pic:spPr>
                    <a:xfrm>
                      <a:off x="0" y="0"/>
                      <a:ext cx="5222240" cy="2874645"/>
                    </a:xfrm>
                    <a:prstGeom prst="rect">
                      <a:avLst/>
                    </a:prstGeom>
                  </pic:spPr>
                </pic:pic>
              </a:graphicData>
            </a:graphic>
          </wp:inline>
        </w:drawing>
      </w:r>
    </w:p>
    <w:p>
      <w:pPr>
        <w:ind w:firstLine="422" w:firstLineChars="200"/>
        <w:rPr>
          <w:rFonts w:hint="eastAsia"/>
          <w:b/>
          <w:bCs/>
          <w:lang w:val="en-US" w:eastAsia="zh-CN"/>
        </w:rPr>
      </w:pPr>
      <w:r>
        <w:rPr>
          <w:rFonts w:hint="eastAsia"/>
          <w:b/>
          <w:bCs/>
          <w:lang w:val="en-US" w:eastAsia="zh-CN"/>
        </w:rPr>
        <w:drawing>
          <wp:inline distT="0" distB="0" distL="114300" distR="114300">
            <wp:extent cx="5241925" cy="4728845"/>
            <wp:effectExtent l="0" t="0" r="15875" b="14605"/>
            <wp:docPr id="6" name="图片 6" descr="4dd10e4062a1b44752ef988271bc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dd10e4062a1b44752ef988271bcb85"/>
                    <pic:cNvPicPr>
                      <a:picLocks noChangeAspect="1"/>
                    </pic:cNvPicPr>
                  </pic:nvPicPr>
                  <pic:blipFill>
                    <a:blip r:embed="rId9"/>
                    <a:stretch>
                      <a:fillRect/>
                    </a:stretch>
                  </pic:blipFill>
                  <pic:spPr>
                    <a:xfrm>
                      <a:off x="0" y="0"/>
                      <a:ext cx="5241925" cy="4728845"/>
                    </a:xfrm>
                    <a:prstGeom prst="rect">
                      <a:avLst/>
                    </a:prstGeom>
                  </pic:spPr>
                </pic:pic>
              </a:graphicData>
            </a:graphic>
          </wp:inline>
        </w:drawing>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 xml:space="preserve">  境外舆论主要以中性和正面信息为主。发表报道关注山西转型发展及如何成为中国能源革命先驱者。境外媒体普遍关注中美贸易谈判相关问题及山西经济发展和环境变化，“转型”、“开放”、“产业”、“能源”、“文化”、“共享”、“环境”、“绿色”等词表达外界期待山西经济转型、产业调整及环境改善。</w:t>
      </w:r>
    </w:p>
    <w:p>
      <w:pPr>
        <w:ind w:firstLine="422" w:firstLineChars="200"/>
        <w:rPr>
          <w:rFonts w:hint="default"/>
          <w:b/>
          <w:bCs/>
          <w:lang w:val="en-US" w:eastAsia="zh-CN"/>
        </w:rPr>
      </w:pP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bookmarkStart w:id="0" w:name="_GoBack"/>
      <w:bookmarkEnd w:id="0"/>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2月26日人民日报英文客户端</w:t>
      </w: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fldChar w:fldCharType="begin"/>
      </w:r>
      <w:r>
        <w:rPr>
          <w:rFonts w:hint="eastAsia" w:ascii="宋体" w:hAnsi="宋体" w:eastAsia="宋体" w:cs="宋体"/>
          <w:b/>
          <w:bCs/>
          <w:sz w:val="21"/>
          <w:szCs w:val="21"/>
          <w:lang w:eastAsia="zh-CN"/>
        </w:rPr>
        <w:instrText xml:space="preserve"> HYPERLINK "https://peoplesdaily.pdnews.cn/2019/02/26/china/the-inland-province-of-shanxi-is-increasingly-opening-up-to-the-world-56812.html" </w:instrText>
      </w:r>
      <w:r>
        <w:rPr>
          <w:rFonts w:hint="eastAsia" w:ascii="宋体" w:hAnsi="宋体" w:eastAsia="宋体" w:cs="宋体"/>
          <w:b/>
          <w:bCs/>
          <w:sz w:val="21"/>
          <w:szCs w:val="21"/>
          <w:lang w:eastAsia="zh-CN"/>
        </w:rPr>
        <w:fldChar w:fldCharType="separate"/>
      </w:r>
      <w:r>
        <w:rPr>
          <w:rStyle w:val="11"/>
          <w:rFonts w:hint="eastAsia" w:ascii="宋体" w:hAnsi="宋体" w:eastAsia="宋体" w:cs="宋体"/>
          <w:b/>
          <w:bCs/>
          <w:sz w:val="21"/>
          <w:szCs w:val="21"/>
          <w:lang w:eastAsia="zh-CN"/>
        </w:rPr>
        <w:t>https://peoplesdaily.pdnews.cn/2019/02/26/china/the-inland-province-of-shanxi-is-increasingly-opening-up-to-the-world-56812.html</w:t>
      </w:r>
      <w:r>
        <w:rPr>
          <w:rFonts w:hint="eastAsia" w:ascii="宋体" w:hAnsi="宋体" w:eastAsia="宋体" w:cs="宋体"/>
          <w:b/>
          <w:bCs/>
          <w:sz w:val="21"/>
          <w:szCs w:val="21"/>
          <w:lang w:eastAsia="zh-CN"/>
        </w:rPr>
        <w:fldChar w:fldCharType="end"/>
      </w: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刊发了The inland province of Shanxi is increasingly opening up to the world；</w:t>
      </w: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drawing>
          <wp:inline distT="0" distB="0" distL="114300" distR="114300">
            <wp:extent cx="5415915" cy="3322955"/>
            <wp:effectExtent l="0" t="0" r="13335" b="10795"/>
            <wp:docPr id="3" name="图片 3" descr="1590717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90717561(1)"/>
                    <pic:cNvPicPr>
                      <a:picLocks noChangeAspect="1"/>
                    </pic:cNvPicPr>
                  </pic:nvPicPr>
                  <pic:blipFill>
                    <a:blip r:embed="rId10"/>
                    <a:stretch>
                      <a:fillRect/>
                    </a:stretch>
                  </pic:blipFill>
                  <pic:spPr>
                    <a:xfrm>
                      <a:off x="0" y="0"/>
                      <a:ext cx="5415915" cy="3322955"/>
                    </a:xfrm>
                    <a:prstGeom prst="rect">
                      <a:avLst/>
                    </a:prstGeom>
                  </pic:spPr>
                </pic:pic>
              </a:graphicData>
            </a:graphic>
          </wp:inline>
        </w:drawing>
      </w:r>
    </w:p>
    <w:p>
      <w:pPr>
        <w:rPr>
          <w:rFonts w:hint="eastAsia" w:ascii="宋体" w:hAnsi="宋体" w:eastAsia="宋体" w:cs="宋体"/>
          <w:b/>
          <w:bCs/>
          <w:sz w:val="21"/>
          <w:szCs w:val="21"/>
          <w:lang w:eastAsia="zh-CN"/>
        </w:rPr>
      </w:pP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2月26日中国日报</w:t>
      </w: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http://www.chinadaily.com.cn/m/shanxi/2019-02/26/content_37441325.htm</w:t>
      </w: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刊登了Foreign affairs ministry promotes Shanxi globally</w:t>
      </w: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drawing>
          <wp:inline distT="0" distB="0" distL="114300" distR="114300">
            <wp:extent cx="5436235" cy="3489960"/>
            <wp:effectExtent l="0" t="0" r="12065" b="15240"/>
            <wp:docPr id="2" name="图片 2" descr="856a323bbcf6fa0a6124cf3fd832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56a323bbcf6fa0a6124cf3fd832f91"/>
                    <pic:cNvPicPr>
                      <a:picLocks noChangeAspect="1"/>
                    </pic:cNvPicPr>
                  </pic:nvPicPr>
                  <pic:blipFill>
                    <a:blip r:embed="rId11"/>
                    <a:stretch>
                      <a:fillRect/>
                    </a:stretch>
                  </pic:blipFill>
                  <pic:spPr>
                    <a:xfrm>
                      <a:off x="0" y="0"/>
                      <a:ext cx="5436235" cy="3489960"/>
                    </a:xfrm>
                    <a:prstGeom prst="rect">
                      <a:avLst/>
                    </a:prstGeom>
                  </pic:spPr>
                </pic:pic>
              </a:graphicData>
            </a:graphic>
          </wp:inline>
        </w:drawing>
      </w:r>
    </w:p>
    <w:p>
      <w:pPr>
        <w:rPr>
          <w:rFonts w:hint="eastAsia" w:ascii="宋体" w:hAnsi="宋体" w:cs="宋体"/>
          <w:b/>
          <w:bCs/>
          <w:sz w:val="21"/>
          <w:szCs w:val="21"/>
          <w:lang w:val="en-US" w:eastAsia="zh-CN"/>
        </w:rPr>
      </w:pPr>
    </w:p>
    <w:p>
      <w:pPr>
        <w:rPr>
          <w:rFonts w:hint="eastAsia" w:ascii="宋体" w:hAnsi="宋体" w:cs="宋体"/>
          <w:b/>
          <w:bCs/>
          <w:sz w:val="21"/>
          <w:szCs w:val="21"/>
          <w:lang w:val="en-US" w:eastAsia="zh-CN"/>
        </w:rPr>
      </w:pPr>
      <w:r>
        <w:rPr>
          <w:rFonts w:hint="eastAsia" w:ascii="宋体" w:hAnsi="宋体" w:cs="宋体"/>
          <w:b/>
          <w:bCs/>
          <w:sz w:val="21"/>
          <w:szCs w:val="21"/>
          <w:lang w:val="en-US" w:eastAsia="zh-CN"/>
        </w:rPr>
        <w:t>2.26日新华网</w:t>
      </w:r>
    </w:p>
    <w:p>
      <w:pPr>
        <w:rPr>
          <w:rFonts w:hint="eastAsia" w:ascii="宋体" w:hAnsi="宋体" w:cs="宋体"/>
          <w:b/>
          <w:bCs/>
          <w:sz w:val="21"/>
          <w:szCs w:val="21"/>
          <w:lang w:val="en-US" w:eastAsia="zh-CN"/>
        </w:rPr>
      </w:pPr>
      <w:r>
        <w:rPr>
          <w:rFonts w:hint="eastAsia" w:ascii="宋体" w:hAnsi="宋体" w:cs="宋体"/>
          <w:b/>
          <w:bCs/>
          <w:sz w:val="21"/>
          <w:szCs w:val="21"/>
          <w:lang w:val="en-US" w:eastAsia="zh-CN"/>
        </w:rPr>
        <w:fldChar w:fldCharType="begin"/>
      </w:r>
      <w:r>
        <w:rPr>
          <w:rFonts w:hint="eastAsia" w:ascii="宋体" w:hAnsi="宋体" w:cs="宋体"/>
          <w:b/>
          <w:bCs/>
          <w:sz w:val="21"/>
          <w:szCs w:val="21"/>
          <w:lang w:val="en-US" w:eastAsia="zh-CN"/>
        </w:rPr>
        <w:instrText xml:space="preserve"> HYPERLINK "http://www.xinhuanet.com/english/2019-02/26/c_137850409.htm" </w:instrText>
      </w:r>
      <w:r>
        <w:rPr>
          <w:rFonts w:hint="eastAsia" w:ascii="宋体" w:hAnsi="宋体" w:cs="宋体"/>
          <w:b/>
          <w:bCs/>
          <w:sz w:val="21"/>
          <w:szCs w:val="21"/>
          <w:lang w:val="en-US" w:eastAsia="zh-CN"/>
        </w:rPr>
        <w:fldChar w:fldCharType="separate"/>
      </w:r>
      <w:r>
        <w:rPr>
          <w:rStyle w:val="11"/>
          <w:rFonts w:hint="eastAsia" w:ascii="宋体" w:hAnsi="宋体" w:cs="宋体"/>
          <w:b/>
          <w:bCs/>
          <w:sz w:val="21"/>
          <w:szCs w:val="21"/>
          <w:lang w:val="en-US" w:eastAsia="zh-CN"/>
        </w:rPr>
        <w:t>http://www.xinhuanet.com/english/2019-02/26/c_137850409.htm</w:t>
      </w:r>
      <w:r>
        <w:rPr>
          <w:rFonts w:hint="eastAsia" w:ascii="宋体" w:hAnsi="宋体" w:cs="宋体"/>
          <w:b/>
          <w:bCs/>
          <w:sz w:val="21"/>
          <w:szCs w:val="21"/>
          <w:lang w:val="en-US" w:eastAsia="zh-CN"/>
        </w:rPr>
        <w:fldChar w:fldCharType="end"/>
      </w:r>
    </w:p>
    <w:p>
      <w:pPr>
        <w:rPr>
          <w:rFonts w:hint="eastAsia" w:ascii="宋体" w:hAnsi="宋体" w:cs="宋体"/>
          <w:b/>
          <w:bCs/>
          <w:sz w:val="21"/>
          <w:szCs w:val="21"/>
          <w:lang w:val="en-US" w:eastAsia="zh-CN"/>
        </w:rPr>
      </w:pPr>
      <w:r>
        <w:rPr>
          <w:rFonts w:hint="eastAsia" w:ascii="宋体" w:hAnsi="宋体" w:cs="宋体"/>
          <w:b/>
          <w:bCs/>
          <w:sz w:val="21"/>
          <w:szCs w:val="21"/>
          <w:lang w:val="en-US" w:eastAsia="zh-CN"/>
        </w:rPr>
        <w:t>刊登了Wang Yi addresses 17th event of MFA presenting Chinese provinces in Beijing</w:t>
      </w:r>
    </w:p>
    <w:p>
      <w:pPr>
        <w:rPr>
          <w:rFonts w:hint="eastAsia" w:ascii="宋体" w:hAnsi="宋体" w:cs="宋体"/>
          <w:b/>
          <w:bCs/>
          <w:sz w:val="21"/>
          <w:szCs w:val="21"/>
          <w:lang w:val="en-US" w:eastAsia="zh-CN"/>
        </w:rPr>
      </w:pPr>
      <w:r>
        <w:rPr>
          <w:rFonts w:hint="eastAsia" w:ascii="宋体" w:hAnsi="宋体" w:cs="宋体"/>
          <w:b/>
          <w:bCs/>
          <w:sz w:val="21"/>
          <w:szCs w:val="21"/>
          <w:lang w:val="en-US" w:eastAsia="zh-CN"/>
        </w:rPr>
        <w:drawing>
          <wp:inline distT="0" distB="0" distL="114300" distR="114300">
            <wp:extent cx="3688715" cy="3451225"/>
            <wp:effectExtent l="0" t="0" r="6985" b="15875"/>
            <wp:docPr id="4" name="图片 4" descr="2c9b2f45ac3ab433355be0ecef3a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c9b2f45ac3ab433355be0ecef3a7fe"/>
                    <pic:cNvPicPr>
                      <a:picLocks noChangeAspect="1"/>
                    </pic:cNvPicPr>
                  </pic:nvPicPr>
                  <pic:blipFill>
                    <a:blip r:embed="rId12"/>
                    <a:stretch>
                      <a:fillRect/>
                    </a:stretch>
                  </pic:blipFill>
                  <pic:spPr>
                    <a:xfrm>
                      <a:off x="0" y="0"/>
                      <a:ext cx="3688715" cy="3451225"/>
                    </a:xfrm>
                    <a:prstGeom prst="rect">
                      <a:avLst/>
                    </a:prstGeom>
                  </pic:spPr>
                </pic:pic>
              </a:graphicData>
            </a:graphic>
          </wp:inline>
        </w:drawing>
      </w:r>
    </w:p>
    <w:sectPr>
      <w:headerReference r:id="rId3" w:type="default"/>
      <w:footerReference r:id="rId5" w:type="default"/>
      <w:headerReference r:id="rId4" w:type="even"/>
      <w:pgSz w:w="11906" w:h="16838"/>
      <w:pgMar w:top="1440" w:right="1247" w:bottom="1440" w:left="1247" w:header="851" w:footer="141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00"/>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after="0" w:line="320" w:lineRule="exact"/>
      <w:jc w:val="left"/>
      <w:rPr>
        <w:rFonts w:ascii="楷体" w:hAnsi="楷体" w:eastAsia="楷体"/>
        <w:b/>
        <w:sz w:val="30"/>
        <w:szCs w:val="30"/>
        <w:lang w:eastAsia="zh-CN"/>
      </w:rPr>
    </w:pPr>
    <w:r>
      <w:rPr>
        <w:rFonts w:hint="eastAsia" w:ascii="楷体" w:hAnsi="楷体" w:eastAsia="楷体"/>
        <w:b/>
        <w:sz w:val="30"/>
        <w:szCs w:val="30"/>
      </w:rPr>
      <w:t>附件</w:t>
    </w:r>
    <w:r>
      <w:rPr>
        <w:rFonts w:hint="eastAsia" w:ascii="楷体" w:hAnsi="楷体" w:eastAsia="楷体"/>
        <w:b/>
        <w:sz w:val="30"/>
        <w:szCs w:val="30"/>
        <w:lang w:eastAsia="zh-CN"/>
      </w:rPr>
      <w:t>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after="0" w:line="320" w:lineRule="exact"/>
      <w:jc w:val="left"/>
      <w:rPr>
        <w:rFonts w:ascii="楷体" w:hAnsi="楷体" w:eastAsia="楷体"/>
        <w:b/>
        <w:sz w:val="30"/>
        <w:szCs w:val="30"/>
        <w:lang w:eastAsia="zh-CN"/>
      </w:rPr>
    </w:pPr>
    <w:r>
      <w:rPr>
        <w:rFonts w:hint="eastAsia" w:ascii="楷体" w:hAnsi="楷体" w:eastAsia="楷体"/>
        <w:b/>
        <w:sz w:val="30"/>
        <w:szCs w:val="30"/>
      </w:rPr>
      <w:t>附件</w:t>
    </w:r>
    <w:r>
      <w:rPr>
        <w:rFonts w:hint="eastAsia" w:ascii="楷体" w:hAnsi="楷体" w:eastAsia="楷体"/>
        <w:b/>
        <w:sz w:val="30"/>
        <w:szCs w:val="30"/>
        <w:lang w:eastAsia="zh-CN"/>
      </w:rPr>
      <w:t>9</w:t>
    </w:r>
  </w:p>
  <w:p>
    <w:pPr>
      <w:pStyle w:val="7"/>
      <w:pBdr>
        <w:bottom w:val="none" w:color="auto" w:sz="0" w:space="0"/>
      </w:pBd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255"/>
    <w:rsid w:val="00380A21"/>
    <w:rsid w:val="0043108E"/>
    <w:rsid w:val="00714B15"/>
    <w:rsid w:val="00952255"/>
    <w:rsid w:val="07F451AB"/>
    <w:rsid w:val="099E426C"/>
    <w:rsid w:val="13F62F4C"/>
    <w:rsid w:val="1826789D"/>
    <w:rsid w:val="291139E8"/>
    <w:rsid w:val="30B31478"/>
    <w:rsid w:val="354C3CA8"/>
    <w:rsid w:val="3A67037F"/>
    <w:rsid w:val="48061433"/>
    <w:rsid w:val="5B78293B"/>
    <w:rsid w:val="62603217"/>
    <w:rsid w:val="6FA85B5C"/>
    <w:rsid w:val="727905D7"/>
    <w:rsid w:val="7C021770"/>
    <w:rsid w:val="7D651E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link w:val="12"/>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13"/>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ody Text 3"/>
    <w:basedOn w:val="1"/>
    <w:link w:val="16"/>
    <w:unhideWhenUsed/>
    <w:qFormat/>
    <w:uiPriority w:val="99"/>
    <w:pPr>
      <w:spacing w:after="120"/>
    </w:pPr>
    <w:rPr>
      <w:sz w:val="16"/>
      <w:szCs w:val="16"/>
      <w:lang w:val="zh-CN" w:eastAsia="zh-CN"/>
    </w:rPr>
  </w:style>
  <w:style w:type="paragraph" w:styleId="6">
    <w:name w:val="footer"/>
    <w:basedOn w:val="1"/>
    <w:link w:val="14"/>
    <w:qFormat/>
    <w:uiPriority w:val="0"/>
    <w:pPr>
      <w:tabs>
        <w:tab w:val="center" w:pos="4153"/>
        <w:tab w:val="right" w:pos="8306"/>
      </w:tabs>
      <w:snapToGrid w:val="0"/>
      <w:jc w:val="left"/>
    </w:pPr>
    <w:rPr>
      <w:sz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rPr>
  </w:style>
  <w:style w:type="character" w:styleId="10">
    <w:name w:val="page number"/>
    <w:basedOn w:val="9"/>
    <w:qFormat/>
    <w:uiPriority w:val="0"/>
  </w:style>
  <w:style w:type="character" w:styleId="11">
    <w:name w:val="Hyperlink"/>
    <w:unhideWhenUsed/>
    <w:qFormat/>
    <w:uiPriority w:val="99"/>
    <w:rPr>
      <w:color w:val="0000FF"/>
      <w:u w:val="single"/>
    </w:rPr>
  </w:style>
  <w:style w:type="character" w:customStyle="1" w:styleId="12">
    <w:name w:val="标题 2 Char"/>
    <w:basedOn w:val="9"/>
    <w:link w:val="3"/>
    <w:qFormat/>
    <w:uiPriority w:val="9"/>
    <w:rPr>
      <w:rFonts w:ascii="Cambria" w:hAnsi="Cambria" w:eastAsia="宋体" w:cs="Times New Roman"/>
      <w:b/>
      <w:bCs/>
      <w:sz w:val="32"/>
      <w:szCs w:val="32"/>
    </w:rPr>
  </w:style>
  <w:style w:type="character" w:customStyle="1" w:styleId="13">
    <w:name w:val="标题 3 Char"/>
    <w:basedOn w:val="9"/>
    <w:link w:val="4"/>
    <w:qFormat/>
    <w:uiPriority w:val="9"/>
    <w:rPr>
      <w:rFonts w:ascii="Times New Roman" w:hAnsi="Times New Roman" w:eastAsia="宋体" w:cs="Times New Roman"/>
      <w:b/>
      <w:bCs/>
      <w:sz w:val="32"/>
      <w:szCs w:val="32"/>
    </w:rPr>
  </w:style>
  <w:style w:type="character" w:customStyle="1" w:styleId="14">
    <w:name w:val="页脚 Char"/>
    <w:basedOn w:val="9"/>
    <w:link w:val="6"/>
    <w:qFormat/>
    <w:uiPriority w:val="0"/>
    <w:rPr>
      <w:rFonts w:ascii="Times New Roman" w:hAnsi="Times New Roman" w:eastAsia="宋体" w:cs="Times New Roman"/>
      <w:sz w:val="18"/>
      <w:szCs w:val="20"/>
    </w:rPr>
  </w:style>
  <w:style w:type="character" w:customStyle="1" w:styleId="15">
    <w:name w:val="页眉 Char"/>
    <w:basedOn w:val="9"/>
    <w:link w:val="7"/>
    <w:qFormat/>
    <w:uiPriority w:val="0"/>
    <w:rPr>
      <w:rFonts w:ascii="Times New Roman" w:hAnsi="Times New Roman" w:eastAsia="宋体" w:cs="Times New Roman"/>
      <w:sz w:val="18"/>
      <w:szCs w:val="20"/>
    </w:rPr>
  </w:style>
  <w:style w:type="character" w:customStyle="1" w:styleId="16">
    <w:name w:val="正文文本 3 Char"/>
    <w:basedOn w:val="9"/>
    <w:link w:val="5"/>
    <w:qFormat/>
    <w:uiPriority w:val="99"/>
    <w:rPr>
      <w:rFonts w:ascii="Times New Roman" w:hAnsi="Times New Roman" w:eastAsia="宋体" w:cs="Times New Roman"/>
      <w:sz w:val="16"/>
      <w:szCs w:val="16"/>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930</Words>
  <Characters>1032</Characters>
  <Lines>65</Lines>
  <Paragraphs>18</Paragraphs>
  <TotalTime>1</TotalTime>
  <ScaleCrop>false</ScaleCrop>
  <LinksUpToDate>false</LinksUpToDate>
  <CharactersWithSpaces>1111</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2020-03-18T01:19:00Z</dcterms:created>
  <dc:creator>acer</dc:creator>
  <cp:lastModifiedBy>一颗大西瓜</cp:lastModifiedBy>
  <cp:lastPrinted>2020-05-29T00:51:00Z</cp:lastPrinted>
  <dcterms:modified xsi:type="dcterms:W3CDTF">2020-06-04T07:20:37Z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